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27F2D" w14:textId="77777777" w:rsidR="002364BB" w:rsidRPr="000F4161" w:rsidRDefault="002364BB" w:rsidP="002364BB">
      <w:pPr>
        <w:spacing w:after="0" w:line="240" w:lineRule="auto"/>
        <w:ind w:right="284"/>
        <w:rPr>
          <w:rFonts w:cstheme="minorHAnsi"/>
          <w:sz w:val="24"/>
          <w:szCs w:val="24"/>
        </w:rPr>
      </w:pPr>
      <w:r w:rsidRPr="000F4161">
        <w:rPr>
          <w:rFonts w:cstheme="minorHAnsi"/>
          <w:sz w:val="24"/>
          <w:szCs w:val="24"/>
        </w:rPr>
        <w:t>Dear Sir//Madam,</w:t>
      </w:r>
    </w:p>
    <w:p w14:paraId="1BE5E0CE" w14:textId="77777777" w:rsidR="002364BB" w:rsidRPr="000F4161" w:rsidRDefault="002364BB" w:rsidP="002364BB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5CEDF143" w14:textId="7FBBF4C5" w:rsidR="002364BB" w:rsidRPr="000F4161" w:rsidRDefault="002364BB" w:rsidP="002364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F4161">
        <w:rPr>
          <w:rFonts w:cstheme="minorHAnsi"/>
          <w:sz w:val="24"/>
          <w:szCs w:val="24"/>
        </w:rPr>
        <w:t xml:space="preserve">Sri Lanka Association for the Advancement of Quality &amp; Productivity (SLAAQP) has announced the </w:t>
      </w:r>
      <w:r w:rsidRPr="000F4161">
        <w:rPr>
          <w:rFonts w:cstheme="minorHAnsi"/>
          <w:b/>
          <w:sz w:val="24"/>
          <w:szCs w:val="24"/>
        </w:rPr>
        <w:t>National Convention on Quality &amp; Productivity-NCQP 202</w:t>
      </w:r>
      <w:r w:rsidR="003A33DC" w:rsidRPr="000F4161">
        <w:rPr>
          <w:rFonts w:cstheme="minorHAnsi"/>
          <w:b/>
          <w:sz w:val="24"/>
          <w:szCs w:val="24"/>
        </w:rPr>
        <w:t>4</w:t>
      </w:r>
      <w:r w:rsidRPr="000F4161">
        <w:rPr>
          <w:rFonts w:cstheme="minorHAnsi"/>
          <w:b/>
          <w:sz w:val="24"/>
          <w:szCs w:val="24"/>
        </w:rPr>
        <w:t xml:space="preserve">. </w:t>
      </w:r>
    </w:p>
    <w:p w14:paraId="2F4D7A8C" w14:textId="77777777" w:rsidR="002364BB" w:rsidRPr="000F4161" w:rsidRDefault="002364BB" w:rsidP="002364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A631337" w14:textId="209B2D3C" w:rsidR="002364BB" w:rsidRPr="000F4161" w:rsidRDefault="002364BB" w:rsidP="002364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161">
        <w:rPr>
          <w:rFonts w:cstheme="minorHAnsi"/>
          <w:sz w:val="24"/>
          <w:szCs w:val="24"/>
        </w:rPr>
        <w:t xml:space="preserve">SLAAQP is the </w:t>
      </w:r>
      <w:r w:rsidRPr="000F4161">
        <w:rPr>
          <w:rFonts w:eastAsia="Calibri" w:cstheme="minorHAnsi"/>
          <w:color w:val="0D0F1A"/>
          <w:sz w:val="24"/>
          <w:szCs w:val="24"/>
        </w:rPr>
        <w:t xml:space="preserve">premier organization committed to develop quality and productivity concepts </w:t>
      </w:r>
      <w:r w:rsidRPr="000F4161">
        <w:rPr>
          <w:rFonts w:cstheme="minorHAnsi"/>
          <w:sz w:val="24"/>
          <w:szCs w:val="24"/>
        </w:rPr>
        <w:t xml:space="preserve">in Sri Lanka. NCQP is an annual NATIONAL event organized to promote and popularize QC </w:t>
      </w:r>
      <w:proofErr w:type="gramStart"/>
      <w:r w:rsidRPr="000F4161">
        <w:rPr>
          <w:rFonts w:cstheme="minorHAnsi"/>
          <w:sz w:val="24"/>
          <w:szCs w:val="24"/>
        </w:rPr>
        <w:t>Circles(</w:t>
      </w:r>
      <w:proofErr w:type="gramEnd"/>
      <w:r w:rsidRPr="000F4161">
        <w:rPr>
          <w:rFonts w:cstheme="minorHAnsi"/>
          <w:sz w:val="24"/>
          <w:szCs w:val="24"/>
        </w:rPr>
        <w:t>QCC) as the key activity with other team based projects such as Cross-functional Teams(across functional areas with management), QIP-mainly targeting Middle Management</w:t>
      </w:r>
      <w:r w:rsidR="003A33DC" w:rsidRPr="000F4161">
        <w:rPr>
          <w:rFonts w:cstheme="minorHAnsi"/>
          <w:sz w:val="24"/>
          <w:szCs w:val="24"/>
        </w:rPr>
        <w:t xml:space="preserve"> improvement teams</w:t>
      </w:r>
      <w:r w:rsidRPr="000F4161">
        <w:rPr>
          <w:rFonts w:cstheme="minorHAnsi"/>
          <w:sz w:val="24"/>
          <w:szCs w:val="24"/>
        </w:rPr>
        <w:t xml:space="preserve"> and</w:t>
      </w:r>
      <w:r w:rsidR="003A33DC" w:rsidRPr="000F4161">
        <w:rPr>
          <w:rFonts w:cstheme="minorHAnsi"/>
          <w:sz w:val="24"/>
          <w:szCs w:val="24"/>
        </w:rPr>
        <w:t xml:space="preserve"> Service sector projects especially including</w:t>
      </w:r>
      <w:r w:rsidRPr="000F4161">
        <w:rPr>
          <w:rFonts w:cstheme="minorHAnsi"/>
          <w:sz w:val="24"/>
          <w:szCs w:val="24"/>
        </w:rPr>
        <w:t xml:space="preserve"> Healthcare, Lean-Six Sigma Teams and Kaizen suggestions. </w:t>
      </w:r>
      <w:r w:rsidRPr="000F4161">
        <w:rPr>
          <w:rFonts w:cstheme="minorHAnsi"/>
          <w:sz w:val="24"/>
          <w:szCs w:val="24"/>
          <w:u w:val="single"/>
        </w:rPr>
        <w:t>Participation is open to all sectors</w:t>
      </w:r>
      <w:r w:rsidRPr="000F4161">
        <w:rPr>
          <w:rFonts w:cstheme="minorHAnsi"/>
          <w:sz w:val="24"/>
          <w:szCs w:val="24"/>
        </w:rPr>
        <w:t>. NCQP provides an opportunity for executive and non-executive employees of companies to showcase their success stories on a national platform.</w:t>
      </w:r>
    </w:p>
    <w:p w14:paraId="0AB4F75A" w14:textId="77777777" w:rsidR="002364BB" w:rsidRPr="000F4161" w:rsidRDefault="002364BB" w:rsidP="002364BB">
      <w:pPr>
        <w:spacing w:after="0" w:line="240" w:lineRule="auto"/>
        <w:jc w:val="both"/>
        <w:rPr>
          <w:rFonts w:cstheme="minorHAnsi"/>
        </w:rPr>
      </w:pPr>
    </w:p>
    <w:p w14:paraId="6FB21F9B" w14:textId="3EBAE6A4" w:rsidR="002364BB" w:rsidRPr="000F4161" w:rsidRDefault="002364BB" w:rsidP="002364BB">
      <w:pPr>
        <w:spacing w:after="0" w:line="240" w:lineRule="auto"/>
        <w:jc w:val="both"/>
        <w:rPr>
          <w:rFonts w:cstheme="minorHAnsi"/>
        </w:rPr>
      </w:pPr>
      <w:r w:rsidRPr="000F4161">
        <w:rPr>
          <w:rFonts w:cstheme="minorHAnsi"/>
        </w:rPr>
        <w:t xml:space="preserve">The GOLD award winners are invited to participate at the International Convention for Quality Control </w:t>
      </w:r>
      <w:proofErr w:type="gramStart"/>
      <w:r w:rsidRPr="000F4161">
        <w:rPr>
          <w:rFonts w:cstheme="minorHAnsi"/>
        </w:rPr>
        <w:t>Circles</w:t>
      </w:r>
      <w:r w:rsidR="00BD1F26" w:rsidRPr="000F4161">
        <w:rPr>
          <w:rFonts w:cstheme="minorHAnsi"/>
        </w:rPr>
        <w:t>(</w:t>
      </w:r>
      <w:proofErr w:type="gramEnd"/>
      <w:r w:rsidR="00BD1F26" w:rsidRPr="000F4161">
        <w:rPr>
          <w:rFonts w:cstheme="minorHAnsi"/>
        </w:rPr>
        <w:t>ICQCC)</w:t>
      </w:r>
      <w:r w:rsidRPr="000F4161">
        <w:rPr>
          <w:rFonts w:cstheme="minorHAnsi"/>
        </w:rPr>
        <w:t xml:space="preserve"> held in one of the Asian Countries</w:t>
      </w:r>
      <w:r w:rsidR="00BD1F26" w:rsidRPr="000F4161">
        <w:rPr>
          <w:rFonts w:cstheme="minorHAnsi"/>
        </w:rPr>
        <w:t xml:space="preserve"> and ICQCC 2024 will be held in SRI LANKA.</w:t>
      </w:r>
    </w:p>
    <w:p w14:paraId="55E51453" w14:textId="77777777" w:rsidR="002364BB" w:rsidRPr="000F4161" w:rsidRDefault="002364BB" w:rsidP="002364BB">
      <w:pPr>
        <w:spacing w:after="0" w:line="240" w:lineRule="auto"/>
        <w:rPr>
          <w:rFonts w:cstheme="minorHAnsi"/>
        </w:rPr>
      </w:pPr>
    </w:p>
    <w:p w14:paraId="50498AD8" w14:textId="772A3337" w:rsidR="002364BB" w:rsidRPr="003A33DC" w:rsidRDefault="002364BB" w:rsidP="003A33DC">
      <w:pPr>
        <w:pStyle w:val="Heading2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0F4161">
        <w:rPr>
          <w:rFonts w:asciiTheme="minorHAnsi" w:hAnsiTheme="minorHAnsi" w:cstheme="minorHAnsi"/>
          <w:b w:val="0"/>
          <w:bCs w:val="0"/>
          <w:sz w:val="24"/>
          <w:szCs w:val="24"/>
        </w:rPr>
        <w:t>The theme of the convention this year is “</w:t>
      </w:r>
      <w:r w:rsidR="003A33DC" w:rsidRPr="000F4161">
        <w:rPr>
          <w:rFonts w:asciiTheme="minorHAnsi" w:hAnsiTheme="minorHAnsi" w:cstheme="minorHAnsi"/>
          <w:color w:val="000000"/>
          <w:sz w:val="24"/>
          <w:szCs w:val="24"/>
        </w:rPr>
        <w:t>A Quest for Quality, Productivity and Innovation</w:t>
      </w:r>
      <w:r w:rsidRPr="000F4161">
        <w:rPr>
          <w:rFonts w:asciiTheme="minorHAnsi" w:hAnsiTheme="minorHAnsi" w:cstheme="minorHAnsi"/>
          <w:sz w:val="24"/>
          <w:szCs w:val="24"/>
        </w:rPr>
        <w:t xml:space="preserve">. </w:t>
      </w:r>
      <w:r w:rsidRPr="000F4161">
        <w:rPr>
          <w:rFonts w:asciiTheme="minorHAnsi" w:hAnsiTheme="minorHAnsi" w:cstheme="minorHAnsi"/>
          <w:b w:val="0"/>
          <w:bCs w:val="0"/>
          <w:sz w:val="24"/>
          <w:szCs w:val="24"/>
        </w:rPr>
        <w:t>The Convention will be held at the</w:t>
      </w:r>
      <w:r w:rsidRPr="000F4161">
        <w:rPr>
          <w:rFonts w:asciiTheme="minorHAnsi" w:hAnsiTheme="minorHAnsi" w:cstheme="minorHAnsi"/>
          <w:sz w:val="24"/>
          <w:szCs w:val="24"/>
        </w:rPr>
        <w:t xml:space="preserve"> </w:t>
      </w:r>
      <w:r w:rsidR="003A33DC" w:rsidRPr="000F4161">
        <w:rPr>
          <w:rFonts w:asciiTheme="minorHAnsi" w:hAnsiTheme="minorHAnsi" w:cstheme="minorHAnsi"/>
          <w:sz w:val="24"/>
          <w:szCs w:val="24"/>
        </w:rPr>
        <w:t xml:space="preserve">Institute of Technology University of </w:t>
      </w:r>
      <w:proofErr w:type="gramStart"/>
      <w:r w:rsidR="003A33DC" w:rsidRPr="000F4161">
        <w:rPr>
          <w:rFonts w:asciiTheme="minorHAnsi" w:hAnsiTheme="minorHAnsi" w:cstheme="minorHAnsi"/>
          <w:sz w:val="24"/>
          <w:szCs w:val="24"/>
        </w:rPr>
        <w:t>Moratuwa</w:t>
      </w:r>
      <w:r w:rsidR="00FD30CE" w:rsidRPr="000F4161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3A33DC" w:rsidRPr="000F4161">
        <w:rPr>
          <w:rFonts w:asciiTheme="minorHAnsi" w:hAnsiTheme="minorHAnsi" w:cstheme="minorHAnsi"/>
          <w:sz w:val="24"/>
          <w:szCs w:val="24"/>
        </w:rPr>
        <w:t>ITUM</w:t>
      </w:r>
      <w:r w:rsidR="00FD30CE" w:rsidRPr="000F4161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="003A33DC" w:rsidRPr="000F4161">
        <w:rPr>
          <w:rFonts w:asciiTheme="minorHAnsi" w:hAnsiTheme="minorHAnsi" w:cstheme="minorHAnsi"/>
          <w:sz w:val="24"/>
          <w:szCs w:val="24"/>
        </w:rPr>
        <w:t>Diyagama</w:t>
      </w:r>
      <w:proofErr w:type="spellEnd"/>
      <w:r w:rsidR="003A33DC" w:rsidRPr="000F416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A33DC" w:rsidRPr="000F4161">
        <w:rPr>
          <w:rFonts w:asciiTheme="minorHAnsi" w:hAnsiTheme="minorHAnsi" w:cstheme="minorHAnsi"/>
          <w:sz w:val="24"/>
          <w:szCs w:val="24"/>
        </w:rPr>
        <w:t>Homagama</w:t>
      </w:r>
      <w:proofErr w:type="spellEnd"/>
      <w:r w:rsidR="00FD30CE" w:rsidRPr="000F4161">
        <w:rPr>
          <w:rFonts w:asciiTheme="minorHAnsi" w:hAnsiTheme="minorHAnsi" w:cstheme="minorHAnsi"/>
          <w:sz w:val="24"/>
          <w:szCs w:val="24"/>
        </w:rPr>
        <w:t xml:space="preserve"> </w:t>
      </w:r>
      <w:r w:rsidRPr="000F4161">
        <w:rPr>
          <w:rFonts w:asciiTheme="minorHAnsi" w:hAnsiTheme="minorHAnsi" w:cstheme="minorHAnsi"/>
          <w:sz w:val="24"/>
          <w:szCs w:val="24"/>
        </w:rPr>
        <w:t xml:space="preserve">on </w:t>
      </w:r>
      <w:r w:rsidR="003A33DC" w:rsidRPr="000F4161">
        <w:rPr>
          <w:rFonts w:asciiTheme="minorHAnsi" w:hAnsiTheme="minorHAnsi" w:cstheme="minorHAnsi"/>
          <w:sz w:val="24"/>
          <w:szCs w:val="24"/>
        </w:rPr>
        <w:t>12</w:t>
      </w:r>
      <w:r w:rsidR="003A33DC" w:rsidRPr="000F416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3A33DC" w:rsidRPr="000F4161">
        <w:rPr>
          <w:rFonts w:asciiTheme="minorHAnsi" w:hAnsiTheme="minorHAnsi" w:cstheme="minorHAnsi"/>
          <w:sz w:val="24"/>
          <w:szCs w:val="24"/>
        </w:rPr>
        <w:t xml:space="preserve"> June</w:t>
      </w:r>
      <w:r w:rsidRPr="000F4161">
        <w:rPr>
          <w:rFonts w:asciiTheme="minorHAnsi" w:hAnsiTheme="minorHAnsi" w:cstheme="minorHAnsi"/>
          <w:sz w:val="24"/>
          <w:szCs w:val="24"/>
        </w:rPr>
        <w:t xml:space="preserve"> 202</w:t>
      </w:r>
      <w:r w:rsidR="003A33DC" w:rsidRPr="000F4161">
        <w:rPr>
          <w:rFonts w:asciiTheme="minorHAnsi" w:hAnsiTheme="minorHAnsi" w:cstheme="minorHAnsi"/>
          <w:sz w:val="24"/>
          <w:szCs w:val="24"/>
        </w:rPr>
        <w:t>4</w:t>
      </w:r>
      <w:r w:rsidRPr="000F4161">
        <w:rPr>
          <w:rFonts w:asciiTheme="minorHAnsi" w:hAnsiTheme="minorHAnsi" w:cstheme="minorHAnsi"/>
          <w:sz w:val="24"/>
          <w:szCs w:val="24"/>
        </w:rPr>
        <w:t xml:space="preserve"> and the award ceremony will follow</w:t>
      </w:r>
      <w:r w:rsidRPr="003A33DC">
        <w:rPr>
          <w:rFonts w:asciiTheme="minorHAnsi" w:hAnsiTheme="minorHAnsi" w:cstheme="minorHAnsi"/>
          <w:sz w:val="22"/>
          <w:szCs w:val="22"/>
        </w:rPr>
        <w:t>.</w:t>
      </w:r>
    </w:p>
    <w:p w14:paraId="30606061" w14:textId="77777777" w:rsidR="002364BB" w:rsidRPr="002364BB" w:rsidRDefault="002364BB" w:rsidP="002364BB">
      <w:pPr>
        <w:spacing w:after="0" w:line="240" w:lineRule="auto"/>
        <w:rPr>
          <w:rFonts w:cstheme="minorHAnsi"/>
        </w:rPr>
      </w:pPr>
    </w:p>
    <w:p w14:paraId="7C5E2FE4" w14:textId="77777777" w:rsidR="002364BB" w:rsidRPr="002364BB" w:rsidRDefault="002364BB" w:rsidP="002364BB">
      <w:pPr>
        <w:spacing w:after="0" w:line="240" w:lineRule="auto"/>
        <w:rPr>
          <w:rFonts w:cstheme="minorHAnsi"/>
        </w:rPr>
      </w:pPr>
      <w:r w:rsidRPr="002364BB">
        <w:rPr>
          <w:rFonts w:cstheme="minorHAnsi"/>
        </w:rPr>
        <w:t>This year the convention has 5 streams. They are:</w:t>
      </w:r>
    </w:p>
    <w:p w14:paraId="4460490C" w14:textId="77777777" w:rsidR="002364BB" w:rsidRPr="002364BB" w:rsidRDefault="002364BB" w:rsidP="002364BB">
      <w:pPr>
        <w:spacing w:after="0" w:line="240" w:lineRule="auto"/>
        <w:rPr>
          <w:rFonts w:cstheme="minorHAnsi"/>
        </w:rPr>
      </w:pPr>
      <w:r w:rsidRPr="002364BB">
        <w:rPr>
          <w:rFonts w:cstheme="minorHAnsi"/>
        </w:rPr>
        <w:tab/>
      </w:r>
    </w:p>
    <w:tbl>
      <w:tblPr>
        <w:tblStyle w:val="TableGrid"/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244"/>
      </w:tblGrid>
      <w:tr w:rsidR="002364BB" w:rsidRPr="002364BB" w14:paraId="05D076E1" w14:textId="77777777" w:rsidTr="00145B1F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3CDF17B8" w14:textId="77777777" w:rsidR="002364BB" w:rsidRPr="002364BB" w:rsidRDefault="002364BB" w:rsidP="00236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364BB">
              <w:rPr>
                <w:rFonts w:cstheme="minorHAnsi"/>
                <w:b/>
                <w:sz w:val="22"/>
                <w:szCs w:val="22"/>
              </w:rPr>
              <w:t>Stream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59DB6D3" w14:textId="77777777" w:rsidR="002364BB" w:rsidRPr="002364BB" w:rsidRDefault="002364BB" w:rsidP="002364B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364BB">
              <w:rPr>
                <w:rFonts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1E7B9359" w14:textId="77777777" w:rsidR="002364BB" w:rsidRPr="002364BB" w:rsidRDefault="002364BB" w:rsidP="002364BB">
            <w:pPr>
              <w:rPr>
                <w:rFonts w:cstheme="minorHAnsi"/>
                <w:b/>
                <w:sz w:val="22"/>
                <w:szCs w:val="22"/>
              </w:rPr>
            </w:pPr>
            <w:r w:rsidRPr="002364BB">
              <w:rPr>
                <w:rFonts w:cstheme="minorHAnsi"/>
                <w:b/>
                <w:sz w:val="22"/>
                <w:szCs w:val="22"/>
              </w:rPr>
              <w:t>Whom meant for</w:t>
            </w:r>
          </w:p>
        </w:tc>
      </w:tr>
      <w:tr w:rsidR="000F4161" w:rsidRPr="002364BB" w14:paraId="06BC751A" w14:textId="77777777" w:rsidTr="00145B1F">
        <w:tc>
          <w:tcPr>
            <w:tcW w:w="959" w:type="dxa"/>
            <w:vAlign w:val="center"/>
          </w:tcPr>
          <w:p w14:paraId="71667513" w14:textId="39E5C20E" w:rsidR="000F4161" w:rsidRPr="002364BB" w:rsidRDefault="000F4161" w:rsidP="00F6358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02A63BC3" w14:textId="77777777" w:rsidR="000F4161" w:rsidRPr="002364BB" w:rsidRDefault="000F4161" w:rsidP="00F63580">
            <w:pPr>
              <w:rPr>
                <w:rFonts w:cstheme="minorHAnsi"/>
                <w:sz w:val="22"/>
                <w:szCs w:val="22"/>
              </w:rPr>
            </w:pPr>
            <w:r w:rsidRPr="002364BB">
              <w:rPr>
                <w:rFonts w:cstheme="minorHAnsi"/>
                <w:sz w:val="22"/>
                <w:szCs w:val="22"/>
              </w:rPr>
              <w:t>Quality Control Circles</w:t>
            </w:r>
          </w:p>
        </w:tc>
        <w:tc>
          <w:tcPr>
            <w:tcW w:w="5244" w:type="dxa"/>
          </w:tcPr>
          <w:p w14:paraId="3E4F6402" w14:textId="44BF42E3" w:rsidR="000F4161" w:rsidRPr="002364BB" w:rsidRDefault="000F4161" w:rsidP="00F63580">
            <w:pPr>
              <w:rPr>
                <w:rFonts w:cstheme="minorHAnsi"/>
                <w:sz w:val="22"/>
                <w:szCs w:val="22"/>
              </w:rPr>
            </w:pPr>
            <w:r w:rsidRPr="002364BB">
              <w:rPr>
                <w:rFonts w:cstheme="minorHAnsi"/>
                <w:sz w:val="22"/>
                <w:szCs w:val="22"/>
              </w:rPr>
              <w:t xml:space="preserve">A small </w:t>
            </w:r>
            <w:r>
              <w:rPr>
                <w:rFonts w:cstheme="minorHAnsi"/>
                <w:sz w:val="22"/>
                <w:szCs w:val="22"/>
              </w:rPr>
              <w:t>group</w:t>
            </w:r>
            <w:r w:rsidRPr="002364BB">
              <w:rPr>
                <w:rFonts w:cstheme="minorHAnsi"/>
                <w:sz w:val="22"/>
                <w:szCs w:val="22"/>
              </w:rPr>
              <w:t xml:space="preserve"> of employees work together </w:t>
            </w:r>
            <w:r>
              <w:rPr>
                <w:rFonts w:cstheme="minorHAnsi"/>
                <w:sz w:val="22"/>
                <w:szCs w:val="22"/>
              </w:rPr>
              <w:t xml:space="preserve">in a team </w:t>
            </w:r>
            <w:r w:rsidRPr="002364BB">
              <w:rPr>
                <w:rFonts w:cstheme="minorHAnsi"/>
                <w:sz w:val="22"/>
                <w:szCs w:val="22"/>
              </w:rPr>
              <w:t xml:space="preserve">to solve a </w:t>
            </w:r>
            <w:proofErr w:type="gramStart"/>
            <w:r w:rsidRPr="002364BB">
              <w:rPr>
                <w:rFonts w:cstheme="minorHAnsi"/>
                <w:sz w:val="22"/>
                <w:szCs w:val="22"/>
              </w:rPr>
              <w:t>work related</w:t>
            </w:r>
            <w:proofErr w:type="gramEnd"/>
            <w:r w:rsidRPr="002364BB">
              <w:rPr>
                <w:rFonts w:cstheme="minorHAnsi"/>
                <w:sz w:val="22"/>
                <w:szCs w:val="22"/>
              </w:rPr>
              <w:t xml:space="preserve"> problem </w:t>
            </w:r>
          </w:p>
        </w:tc>
      </w:tr>
      <w:tr w:rsidR="000F4161" w:rsidRPr="002364BB" w14:paraId="6EB8E9B6" w14:textId="77777777" w:rsidTr="00145B1F">
        <w:tc>
          <w:tcPr>
            <w:tcW w:w="959" w:type="dxa"/>
            <w:vAlign w:val="center"/>
          </w:tcPr>
          <w:p w14:paraId="71231B5A" w14:textId="7BD32A23" w:rsidR="000F4161" w:rsidRPr="002364BB" w:rsidRDefault="000F4161" w:rsidP="00F6358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14:paraId="6ADD4168" w14:textId="77777777" w:rsidR="000F4161" w:rsidRPr="002364BB" w:rsidRDefault="000F4161" w:rsidP="00F63580">
            <w:pPr>
              <w:rPr>
                <w:rFonts w:cstheme="minorHAnsi"/>
                <w:sz w:val="22"/>
                <w:szCs w:val="22"/>
              </w:rPr>
            </w:pPr>
            <w:r w:rsidRPr="002364BB">
              <w:rPr>
                <w:rFonts w:cstheme="minorHAnsi"/>
                <w:sz w:val="22"/>
                <w:szCs w:val="22"/>
              </w:rPr>
              <w:t>Cross Functional Teams</w:t>
            </w:r>
          </w:p>
        </w:tc>
        <w:tc>
          <w:tcPr>
            <w:tcW w:w="5244" w:type="dxa"/>
          </w:tcPr>
          <w:p w14:paraId="45231A68" w14:textId="59E431EF" w:rsidR="000F4161" w:rsidRPr="002364BB" w:rsidRDefault="000F4161" w:rsidP="00F63580">
            <w:pPr>
              <w:rPr>
                <w:rFonts w:cstheme="minorHAnsi"/>
                <w:color w:val="040C28"/>
                <w:sz w:val="22"/>
                <w:szCs w:val="22"/>
              </w:rPr>
            </w:pPr>
            <w:r w:rsidRPr="002364BB">
              <w:rPr>
                <w:rFonts w:cstheme="minorHAnsi"/>
                <w:sz w:val="22"/>
                <w:szCs w:val="22"/>
              </w:rPr>
              <w:t>A small Team of</w:t>
            </w:r>
            <w:r w:rsidRPr="002364BB">
              <w:rPr>
                <w:rFonts w:cstheme="minorHAnsi"/>
                <w:color w:val="040C28"/>
                <w:sz w:val="22"/>
                <w:szCs w:val="22"/>
              </w:rPr>
              <w:t xml:space="preserve"> employees across functional areas within an organisation reach a </w:t>
            </w:r>
            <w:r w:rsidRPr="002364BB">
              <w:rPr>
                <w:rFonts w:cstheme="minorHAnsi"/>
                <w:color w:val="040C28"/>
                <w:sz w:val="22"/>
                <w:szCs w:val="22"/>
              </w:rPr>
              <w:t>work-related</w:t>
            </w:r>
            <w:r w:rsidRPr="002364BB">
              <w:rPr>
                <w:rFonts w:cstheme="minorHAnsi"/>
                <w:color w:val="040C28"/>
                <w:sz w:val="22"/>
                <w:szCs w:val="22"/>
              </w:rPr>
              <w:t xml:space="preserve"> goal. </w:t>
            </w:r>
          </w:p>
        </w:tc>
      </w:tr>
      <w:tr w:rsidR="002364BB" w:rsidRPr="002364BB" w14:paraId="3F27D595" w14:textId="77777777" w:rsidTr="00145B1F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296D5C66" w14:textId="7BD25C55" w:rsidR="002364BB" w:rsidRPr="002364BB" w:rsidRDefault="000F4161" w:rsidP="00236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C96FE84" w14:textId="77777777" w:rsidR="000F4161" w:rsidRDefault="000F4161" w:rsidP="002364BB">
            <w:pPr>
              <w:rPr>
                <w:rFonts w:cstheme="minorHAnsi"/>
                <w:sz w:val="22"/>
                <w:szCs w:val="22"/>
              </w:rPr>
            </w:pPr>
          </w:p>
          <w:p w14:paraId="0F0A2586" w14:textId="77777777" w:rsidR="000F4161" w:rsidRDefault="000F4161" w:rsidP="002364BB">
            <w:pPr>
              <w:rPr>
                <w:rFonts w:cstheme="minorHAnsi"/>
                <w:sz w:val="22"/>
                <w:szCs w:val="22"/>
              </w:rPr>
            </w:pPr>
          </w:p>
          <w:p w14:paraId="637E738B" w14:textId="77AEFC18" w:rsidR="002364BB" w:rsidRPr="002364BB" w:rsidRDefault="002364BB" w:rsidP="002364BB">
            <w:pPr>
              <w:rPr>
                <w:rFonts w:cstheme="minorHAnsi"/>
                <w:sz w:val="22"/>
                <w:szCs w:val="22"/>
              </w:rPr>
            </w:pPr>
            <w:r w:rsidRPr="002364BB">
              <w:rPr>
                <w:rFonts w:cstheme="minorHAnsi"/>
                <w:sz w:val="22"/>
                <w:szCs w:val="22"/>
              </w:rPr>
              <w:t>Quality Improvement Projects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5238812" w14:textId="5CB695B8" w:rsidR="002364BB" w:rsidRPr="002364BB" w:rsidRDefault="002364BB" w:rsidP="002364BB">
            <w:pPr>
              <w:rPr>
                <w:rFonts w:cstheme="minorHAnsi"/>
                <w:sz w:val="22"/>
                <w:szCs w:val="22"/>
              </w:rPr>
            </w:pPr>
            <w:r w:rsidRPr="002364BB">
              <w:rPr>
                <w:rFonts w:cstheme="minorHAnsi"/>
                <w:sz w:val="22"/>
                <w:szCs w:val="22"/>
              </w:rPr>
              <w:t>Mainly practised in the</w:t>
            </w:r>
            <w:r w:rsidR="007E0288">
              <w:rPr>
                <w:rFonts w:cstheme="minorHAnsi"/>
                <w:sz w:val="22"/>
                <w:szCs w:val="22"/>
              </w:rPr>
              <w:t xml:space="preserve"> service sector especially in</w:t>
            </w:r>
            <w:r w:rsidRPr="002364BB">
              <w:rPr>
                <w:rFonts w:cstheme="minorHAnsi"/>
                <w:sz w:val="22"/>
                <w:szCs w:val="22"/>
              </w:rPr>
              <w:t xml:space="preserve"> healthcare to improve the patient comfort and safety</w:t>
            </w:r>
            <w:r w:rsidR="007E0288">
              <w:rPr>
                <w:rFonts w:cstheme="minorHAnsi"/>
                <w:sz w:val="22"/>
                <w:szCs w:val="22"/>
              </w:rPr>
              <w:t xml:space="preserve">. </w:t>
            </w:r>
            <w:proofErr w:type="gramStart"/>
            <w:r w:rsidR="000F4161">
              <w:rPr>
                <w:rFonts w:cstheme="minorHAnsi"/>
                <w:sz w:val="22"/>
                <w:szCs w:val="22"/>
              </w:rPr>
              <w:t>Also</w:t>
            </w:r>
            <w:proofErr w:type="gramEnd"/>
            <w:r w:rsidR="007E0288">
              <w:rPr>
                <w:rFonts w:cstheme="minorHAnsi"/>
                <w:sz w:val="22"/>
                <w:szCs w:val="22"/>
              </w:rPr>
              <w:t xml:space="preserve"> in</w:t>
            </w:r>
            <w:r w:rsidR="000F4161">
              <w:rPr>
                <w:rFonts w:cstheme="minorHAnsi"/>
                <w:sz w:val="22"/>
                <w:szCs w:val="22"/>
              </w:rPr>
              <w:t xml:space="preserve"> other services such as</w:t>
            </w:r>
            <w:r w:rsidR="007E0288">
              <w:rPr>
                <w:rFonts w:cstheme="minorHAnsi"/>
                <w:sz w:val="22"/>
                <w:szCs w:val="22"/>
              </w:rPr>
              <w:t xml:space="preserve"> banking, Architectural designs, hair &amp; beauticians, clinics, finance consultants, hotels, hairdressers, </w:t>
            </w:r>
            <w:r w:rsidR="000F4161">
              <w:rPr>
                <w:rFonts w:cstheme="minorHAnsi"/>
                <w:sz w:val="22"/>
                <w:szCs w:val="22"/>
              </w:rPr>
              <w:t>s</w:t>
            </w:r>
            <w:r w:rsidR="007E0288">
              <w:rPr>
                <w:rFonts w:cstheme="minorHAnsi"/>
                <w:sz w:val="22"/>
                <w:szCs w:val="22"/>
              </w:rPr>
              <w:t>olicitors, postal service etc.</w:t>
            </w:r>
          </w:p>
        </w:tc>
      </w:tr>
      <w:tr w:rsidR="000F4161" w:rsidRPr="002364BB" w14:paraId="684A7286" w14:textId="77777777" w:rsidTr="00145B1F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34E4273" w14:textId="77777777" w:rsidR="000F4161" w:rsidRPr="002364BB" w:rsidRDefault="000F4161" w:rsidP="00F6358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364BB">
              <w:rPr>
                <w:rFonts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042C9BA" w14:textId="77777777" w:rsidR="000F4161" w:rsidRDefault="000F4161" w:rsidP="00F63580">
            <w:pPr>
              <w:rPr>
                <w:rFonts w:cstheme="minorHAnsi"/>
                <w:sz w:val="22"/>
                <w:szCs w:val="22"/>
              </w:rPr>
            </w:pPr>
          </w:p>
          <w:p w14:paraId="3C57F52B" w14:textId="2B0CAC82" w:rsidR="000F4161" w:rsidRPr="002364BB" w:rsidRDefault="000F4161" w:rsidP="00F63580">
            <w:pPr>
              <w:rPr>
                <w:rFonts w:cstheme="minorHAnsi"/>
                <w:sz w:val="22"/>
                <w:szCs w:val="22"/>
              </w:rPr>
            </w:pPr>
            <w:r w:rsidRPr="002364BB">
              <w:rPr>
                <w:rFonts w:cstheme="minorHAnsi"/>
                <w:sz w:val="22"/>
                <w:szCs w:val="22"/>
              </w:rPr>
              <w:t>Lean Six Sigma Teams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15653FBA" w14:textId="44CA96EC" w:rsidR="000F4161" w:rsidRPr="002364BB" w:rsidRDefault="000F4161" w:rsidP="00F63580">
            <w:pPr>
              <w:rPr>
                <w:rFonts w:cstheme="minorHAnsi"/>
                <w:sz w:val="22"/>
                <w:szCs w:val="22"/>
              </w:rPr>
            </w:pPr>
            <w:r w:rsidRPr="002364BB">
              <w:rPr>
                <w:rFonts w:cstheme="minorHAnsi"/>
                <w:sz w:val="22"/>
                <w:szCs w:val="22"/>
              </w:rPr>
              <w:t>Minimising waste and driving towards defect free status. DMAIC</w:t>
            </w:r>
            <w:r>
              <w:rPr>
                <w:rFonts w:cstheme="minorHAnsi"/>
                <w:sz w:val="22"/>
                <w:szCs w:val="22"/>
              </w:rPr>
              <w:t xml:space="preserve"> / DMADV</w:t>
            </w:r>
            <w:r w:rsidRPr="002364BB">
              <w:rPr>
                <w:rFonts w:cstheme="minorHAnsi"/>
                <w:sz w:val="22"/>
                <w:szCs w:val="22"/>
              </w:rPr>
              <w:t xml:space="preserve"> methodology is used to achieve a stated objective</w:t>
            </w:r>
            <w:r w:rsidRPr="002364BB">
              <w:rPr>
                <w:rFonts w:cstheme="minorHAnsi"/>
                <w:color w:val="040C28"/>
                <w:sz w:val="22"/>
                <w:szCs w:val="22"/>
              </w:rPr>
              <w:t>.</w:t>
            </w:r>
          </w:p>
        </w:tc>
      </w:tr>
      <w:tr w:rsidR="002364BB" w:rsidRPr="002364BB" w14:paraId="435A7C4C" w14:textId="77777777" w:rsidTr="00145B1F">
        <w:tc>
          <w:tcPr>
            <w:tcW w:w="959" w:type="dxa"/>
            <w:vAlign w:val="center"/>
          </w:tcPr>
          <w:p w14:paraId="4FFB7501" w14:textId="77777777" w:rsidR="002364BB" w:rsidRPr="002364BB" w:rsidRDefault="002364BB" w:rsidP="00236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364BB">
              <w:rPr>
                <w:rFonts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14:paraId="04E56FE2" w14:textId="77777777" w:rsidR="002364BB" w:rsidRDefault="002364BB" w:rsidP="002364BB">
            <w:pPr>
              <w:rPr>
                <w:rFonts w:cstheme="minorHAnsi"/>
                <w:sz w:val="22"/>
                <w:szCs w:val="22"/>
              </w:rPr>
            </w:pPr>
            <w:r w:rsidRPr="002364BB">
              <w:rPr>
                <w:rFonts w:cstheme="minorHAnsi"/>
                <w:sz w:val="22"/>
                <w:szCs w:val="22"/>
              </w:rPr>
              <w:t>Kaizen Suggestions Scheme</w:t>
            </w:r>
          </w:p>
          <w:p w14:paraId="7CC482D9" w14:textId="278B7469" w:rsidR="00145B1F" w:rsidRPr="002364BB" w:rsidRDefault="00145B1F" w:rsidP="002364B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(only top ten will be commended)</w:t>
            </w:r>
          </w:p>
        </w:tc>
        <w:tc>
          <w:tcPr>
            <w:tcW w:w="5244" w:type="dxa"/>
          </w:tcPr>
          <w:p w14:paraId="19DCB6B8" w14:textId="77777777" w:rsidR="002364BB" w:rsidRPr="002364BB" w:rsidRDefault="002364BB" w:rsidP="002364BB">
            <w:pPr>
              <w:rPr>
                <w:rFonts w:cstheme="minorHAnsi"/>
                <w:sz w:val="22"/>
                <w:szCs w:val="22"/>
              </w:rPr>
            </w:pPr>
            <w:r w:rsidRPr="002364BB">
              <w:rPr>
                <w:rFonts w:cstheme="minorHAnsi"/>
                <w:sz w:val="22"/>
                <w:szCs w:val="22"/>
              </w:rPr>
              <w:t>Individual or group working towards same objective. Use of P, Q, C, D, S, M in continual improvement of the work place.</w:t>
            </w:r>
          </w:p>
        </w:tc>
      </w:tr>
    </w:tbl>
    <w:p w14:paraId="015F4615" w14:textId="77777777" w:rsidR="002364BB" w:rsidRPr="002364BB" w:rsidRDefault="002364BB" w:rsidP="002364BB">
      <w:pPr>
        <w:spacing w:after="0" w:line="240" w:lineRule="auto"/>
        <w:rPr>
          <w:rFonts w:cstheme="minorHAnsi"/>
        </w:rPr>
      </w:pPr>
    </w:p>
    <w:p w14:paraId="3F103845" w14:textId="120C626B" w:rsidR="002364BB" w:rsidRPr="000F4161" w:rsidRDefault="002364BB" w:rsidP="002364B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F4161">
        <w:rPr>
          <w:rFonts w:cstheme="minorHAnsi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91047F7" wp14:editId="70A595C3">
                <wp:simplePos x="0" y="0"/>
                <wp:positionH relativeFrom="column">
                  <wp:posOffset>-1339880</wp:posOffset>
                </wp:positionH>
                <wp:positionV relativeFrom="paragraph">
                  <wp:posOffset>-514300</wp:posOffset>
                </wp:positionV>
                <wp:extent cx="1440" cy="360"/>
                <wp:effectExtent l="57150" t="38100" r="55880" b="57150"/>
                <wp:wrapNone/>
                <wp:docPr id="1582719073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DB36A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06.2pt;margin-top:-41.2pt;width:1.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">
                <v:imagedata r:id="rId8" o:title=""/>
              </v:shape>
            </w:pict>
          </mc:Fallback>
        </mc:AlternateContent>
      </w:r>
      <w:r w:rsidRPr="000F4161">
        <w:rPr>
          <w:rFonts w:cstheme="minorHAnsi"/>
          <w:b/>
          <w:bCs/>
          <w:sz w:val="24"/>
          <w:szCs w:val="24"/>
        </w:rPr>
        <w:t>Guidelines for NCQP 202</w:t>
      </w:r>
      <w:r w:rsidR="000F4161" w:rsidRPr="000F4161">
        <w:rPr>
          <w:rFonts w:cstheme="minorHAnsi"/>
          <w:b/>
          <w:bCs/>
          <w:sz w:val="24"/>
          <w:szCs w:val="24"/>
        </w:rPr>
        <w:t>4</w:t>
      </w:r>
    </w:p>
    <w:p w14:paraId="6C4B8216" w14:textId="04856638" w:rsidR="002364BB" w:rsidRPr="000F4161" w:rsidRDefault="002364BB" w:rsidP="002364BB">
      <w:pPr>
        <w:pStyle w:val="ListParagraph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161">
        <w:rPr>
          <w:rFonts w:asciiTheme="minorHAnsi" w:hAnsiTheme="minorHAnsi" w:cstheme="minorHAnsi"/>
          <w:sz w:val="24"/>
          <w:szCs w:val="24"/>
        </w:rPr>
        <w:t>Organisation</w:t>
      </w:r>
      <w:r w:rsidR="000F4161" w:rsidRPr="000F4161">
        <w:rPr>
          <w:rFonts w:asciiTheme="minorHAnsi" w:hAnsiTheme="minorHAnsi" w:cstheme="minorHAnsi"/>
          <w:sz w:val="24"/>
          <w:szCs w:val="24"/>
        </w:rPr>
        <w:t>s</w:t>
      </w:r>
      <w:r w:rsidRPr="000F4161">
        <w:rPr>
          <w:rFonts w:asciiTheme="minorHAnsi" w:hAnsiTheme="minorHAnsi" w:cstheme="minorHAnsi"/>
          <w:sz w:val="24"/>
          <w:szCs w:val="24"/>
        </w:rPr>
        <w:t xml:space="preserve">/companies can apply for one or all 5 of the convention </w:t>
      </w:r>
      <w:r w:rsidR="000F4161" w:rsidRPr="000F4161">
        <w:rPr>
          <w:rFonts w:asciiTheme="minorHAnsi" w:hAnsiTheme="minorHAnsi" w:cstheme="minorHAnsi"/>
          <w:sz w:val="24"/>
          <w:szCs w:val="24"/>
        </w:rPr>
        <w:t>str</w:t>
      </w:r>
      <w:r w:rsidRPr="000F4161">
        <w:rPr>
          <w:rFonts w:asciiTheme="minorHAnsi" w:hAnsiTheme="minorHAnsi" w:cstheme="minorHAnsi"/>
          <w:sz w:val="24"/>
          <w:szCs w:val="24"/>
        </w:rPr>
        <w:t>e</w:t>
      </w:r>
      <w:r w:rsidR="000F4161" w:rsidRPr="000F4161">
        <w:rPr>
          <w:rFonts w:asciiTheme="minorHAnsi" w:hAnsiTheme="minorHAnsi" w:cstheme="minorHAnsi"/>
          <w:sz w:val="24"/>
          <w:szCs w:val="24"/>
        </w:rPr>
        <w:t>a</w:t>
      </w:r>
      <w:r w:rsidRPr="000F4161">
        <w:rPr>
          <w:rFonts w:asciiTheme="minorHAnsi" w:hAnsiTheme="minorHAnsi" w:cstheme="minorHAnsi"/>
          <w:sz w:val="24"/>
          <w:szCs w:val="24"/>
        </w:rPr>
        <w:t xml:space="preserve">ms. </w:t>
      </w:r>
    </w:p>
    <w:p w14:paraId="27CA7530" w14:textId="1CD5CE88" w:rsidR="002364BB" w:rsidRPr="000F4161" w:rsidRDefault="002364BB" w:rsidP="002364BB">
      <w:pPr>
        <w:pStyle w:val="ListParagraph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161">
        <w:rPr>
          <w:rFonts w:asciiTheme="minorHAnsi" w:hAnsiTheme="minorHAnsi" w:cstheme="minorHAnsi"/>
          <w:sz w:val="24"/>
          <w:szCs w:val="24"/>
        </w:rPr>
        <w:t xml:space="preserve">Every team application for registration must be on separate </w:t>
      </w:r>
      <w:r w:rsidR="000F4161" w:rsidRPr="000F4161">
        <w:rPr>
          <w:rFonts w:asciiTheme="minorHAnsi" w:hAnsiTheme="minorHAnsi" w:cstheme="minorHAnsi"/>
          <w:sz w:val="24"/>
          <w:szCs w:val="24"/>
        </w:rPr>
        <w:t xml:space="preserve">a </w:t>
      </w:r>
      <w:r w:rsidRPr="000F4161">
        <w:rPr>
          <w:rFonts w:asciiTheme="minorHAnsi" w:hAnsiTheme="minorHAnsi" w:cstheme="minorHAnsi"/>
          <w:sz w:val="24"/>
          <w:szCs w:val="24"/>
        </w:rPr>
        <w:t>google form.</w:t>
      </w:r>
    </w:p>
    <w:p w14:paraId="1CFE7B32" w14:textId="77777777" w:rsidR="002364BB" w:rsidRPr="000F4161" w:rsidRDefault="002364BB" w:rsidP="002364BB">
      <w:pPr>
        <w:pStyle w:val="ListParagraph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161">
        <w:rPr>
          <w:rFonts w:asciiTheme="minorHAnsi" w:hAnsiTheme="minorHAnsi" w:cstheme="minorHAnsi"/>
          <w:sz w:val="24"/>
          <w:szCs w:val="24"/>
        </w:rPr>
        <w:t>The registration must be fulfilled by completing the application requirements and sending the proof of payment.</w:t>
      </w:r>
    </w:p>
    <w:p w14:paraId="69C8EEF3" w14:textId="77777777" w:rsidR="002364BB" w:rsidRPr="000F4161" w:rsidRDefault="002364BB" w:rsidP="002364BB">
      <w:pPr>
        <w:pStyle w:val="ListParagraph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161">
        <w:rPr>
          <w:rFonts w:asciiTheme="minorHAnsi" w:hAnsiTheme="minorHAnsi" w:cstheme="minorHAnsi"/>
          <w:sz w:val="24"/>
          <w:szCs w:val="24"/>
        </w:rPr>
        <w:t xml:space="preserve">Each stream has different requirements. Carefully follow them. </w:t>
      </w:r>
    </w:p>
    <w:p w14:paraId="5C83CC8C" w14:textId="6711B9BF" w:rsidR="002364BB" w:rsidRPr="000F4161" w:rsidRDefault="002364BB" w:rsidP="002364BB">
      <w:pPr>
        <w:pStyle w:val="ListParagraph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161">
        <w:rPr>
          <w:rFonts w:asciiTheme="minorHAnsi" w:hAnsiTheme="minorHAnsi" w:cstheme="minorHAnsi"/>
          <w:sz w:val="24"/>
          <w:szCs w:val="24"/>
        </w:rPr>
        <w:t>The submission will be on</w:t>
      </w:r>
      <w:r w:rsidR="000F4161" w:rsidRPr="000F4161">
        <w:rPr>
          <w:rFonts w:asciiTheme="minorHAnsi" w:hAnsiTheme="minorHAnsi" w:cstheme="minorHAnsi"/>
          <w:sz w:val="24"/>
          <w:szCs w:val="24"/>
        </w:rPr>
        <w:t>line</w:t>
      </w:r>
      <w:r w:rsidRPr="000F4161">
        <w:rPr>
          <w:rFonts w:asciiTheme="minorHAnsi" w:hAnsiTheme="minorHAnsi" w:cstheme="minorHAnsi"/>
          <w:sz w:val="24"/>
          <w:szCs w:val="24"/>
        </w:rPr>
        <w:t xml:space="preserve"> and the dates for submission are final. Because of the large volume of applications from participating teams, extensions will not normally be granted.</w:t>
      </w:r>
    </w:p>
    <w:p w14:paraId="474B02C2" w14:textId="77777777" w:rsidR="002364BB" w:rsidRPr="002364BB" w:rsidRDefault="002364BB" w:rsidP="002364BB">
      <w:pPr>
        <w:spacing w:after="0" w:line="240" w:lineRule="auto"/>
        <w:rPr>
          <w:rFonts w:cstheme="minorHAnsi"/>
        </w:rPr>
      </w:pPr>
    </w:p>
    <w:p w14:paraId="23B59589" w14:textId="77777777" w:rsidR="002364BB" w:rsidRPr="002364BB" w:rsidRDefault="002364BB" w:rsidP="002364BB">
      <w:pPr>
        <w:spacing w:after="0" w:line="240" w:lineRule="auto"/>
        <w:rPr>
          <w:rFonts w:eastAsia="Calibri" w:cstheme="minorHAnsi"/>
          <w:b/>
          <w:u w:val="single"/>
        </w:rPr>
      </w:pPr>
      <w:r w:rsidRPr="002364BB">
        <w:rPr>
          <w:rFonts w:eastAsia="Calibri" w:cstheme="minorHAnsi"/>
          <w:b/>
          <w:u w:val="single"/>
        </w:rPr>
        <w:t>Eligibility</w:t>
      </w:r>
    </w:p>
    <w:p w14:paraId="08366012" w14:textId="4D4F0B3F" w:rsidR="002364BB" w:rsidRPr="002364BB" w:rsidRDefault="002364BB" w:rsidP="002364BB">
      <w:pPr>
        <w:spacing w:after="0" w:line="240" w:lineRule="auto"/>
        <w:jc w:val="both"/>
        <w:rPr>
          <w:rFonts w:cstheme="minorHAnsi"/>
          <w:bCs/>
          <w:iCs/>
          <w:w w:val="95"/>
        </w:rPr>
      </w:pPr>
      <w:r w:rsidRPr="002364BB">
        <w:rPr>
          <w:rFonts w:eastAsia="Calibri" w:cstheme="minorHAnsi"/>
          <w:bCs/>
        </w:rPr>
        <w:t xml:space="preserve">The teams must have undertaken a project that has accomplished its objectives and must be authorized by the Superior / Manager overlooking the work and signed confirming that it has been submitted </w:t>
      </w:r>
      <w:r w:rsidRPr="002364BB">
        <w:rPr>
          <w:rFonts w:cstheme="minorHAnsi"/>
          <w:bCs/>
          <w:iCs/>
          <w:w w:val="95"/>
        </w:rPr>
        <w:t>to</w:t>
      </w:r>
      <w:r w:rsidRPr="002364BB">
        <w:rPr>
          <w:rFonts w:cstheme="minorHAnsi"/>
          <w:bCs/>
          <w:iCs/>
          <w:spacing w:val="-17"/>
          <w:w w:val="95"/>
        </w:rPr>
        <w:t xml:space="preserve"> </w:t>
      </w:r>
      <w:r w:rsidRPr="002364BB">
        <w:rPr>
          <w:rFonts w:cstheme="minorHAnsi"/>
          <w:bCs/>
          <w:iCs/>
          <w:w w:val="95"/>
        </w:rPr>
        <w:t>management</w:t>
      </w:r>
      <w:r w:rsidRPr="002364BB">
        <w:rPr>
          <w:rFonts w:cstheme="minorHAnsi"/>
          <w:bCs/>
          <w:iCs/>
          <w:spacing w:val="-16"/>
          <w:w w:val="95"/>
        </w:rPr>
        <w:t xml:space="preserve"> </w:t>
      </w:r>
      <w:r w:rsidRPr="002364BB">
        <w:rPr>
          <w:rFonts w:cstheme="minorHAnsi"/>
          <w:bCs/>
          <w:iCs/>
          <w:w w:val="95"/>
        </w:rPr>
        <w:t>and</w:t>
      </w:r>
      <w:r w:rsidRPr="002364BB">
        <w:rPr>
          <w:rFonts w:cstheme="minorHAnsi"/>
          <w:bCs/>
          <w:iCs/>
          <w:spacing w:val="-17"/>
          <w:w w:val="95"/>
        </w:rPr>
        <w:t xml:space="preserve"> </w:t>
      </w:r>
      <w:r w:rsidR="000F4161">
        <w:rPr>
          <w:rFonts w:cstheme="minorHAnsi"/>
          <w:bCs/>
          <w:iCs/>
          <w:spacing w:val="-17"/>
          <w:w w:val="95"/>
        </w:rPr>
        <w:t xml:space="preserve">has been </w:t>
      </w:r>
      <w:r w:rsidRPr="002364BB">
        <w:rPr>
          <w:rFonts w:cstheme="minorHAnsi"/>
          <w:bCs/>
          <w:iCs/>
          <w:w w:val="95"/>
        </w:rPr>
        <w:t>implemented.</w:t>
      </w:r>
    </w:p>
    <w:p w14:paraId="62B9E02A" w14:textId="77777777" w:rsidR="002364BB" w:rsidRPr="002364BB" w:rsidRDefault="002364BB" w:rsidP="002364BB">
      <w:pPr>
        <w:spacing w:after="0" w:line="240" w:lineRule="auto"/>
        <w:rPr>
          <w:rFonts w:cstheme="minorHAnsi"/>
          <w:sz w:val="24"/>
          <w:szCs w:val="24"/>
        </w:rPr>
      </w:pPr>
    </w:p>
    <w:p w14:paraId="3199DC64" w14:textId="208AF590" w:rsidR="008423A3" w:rsidRPr="002364BB" w:rsidRDefault="008423A3" w:rsidP="008423A3">
      <w:pPr>
        <w:rPr>
          <w:b/>
          <w:bCs/>
          <w:sz w:val="24"/>
          <w:szCs w:val="24"/>
        </w:rPr>
      </w:pPr>
      <w:r w:rsidRPr="002364BB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3F9EAA8" wp14:editId="55AC25CB">
                <wp:simplePos x="0" y="0"/>
                <wp:positionH relativeFrom="column">
                  <wp:posOffset>-1339880</wp:posOffset>
                </wp:positionH>
                <wp:positionV relativeFrom="paragraph">
                  <wp:posOffset>-514300</wp:posOffset>
                </wp:positionV>
                <wp:extent cx="1440" cy="360"/>
                <wp:effectExtent l="57150" t="38100" r="55880" b="57150"/>
                <wp:wrapNone/>
                <wp:docPr id="322457255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EC284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06.2pt;margin-top:-41.2pt;width:1.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">
                <v:imagedata r:id="rId10" o:title=""/>
              </v:shape>
            </w:pict>
          </mc:Fallback>
        </mc:AlternateContent>
      </w:r>
      <w:r w:rsidRPr="002364BB">
        <w:rPr>
          <w:b/>
          <w:bCs/>
          <w:sz w:val="24"/>
          <w:szCs w:val="24"/>
        </w:rPr>
        <w:t>NCQP 202</w:t>
      </w:r>
      <w:r w:rsidR="000F4161">
        <w:rPr>
          <w:b/>
          <w:bCs/>
          <w:sz w:val="24"/>
          <w:szCs w:val="24"/>
        </w:rPr>
        <w:t>4</w:t>
      </w:r>
    </w:p>
    <w:p w14:paraId="62265F37" w14:textId="77777777" w:rsidR="00921627" w:rsidRDefault="008423A3" w:rsidP="004A613E">
      <w:pPr>
        <w:jc w:val="both"/>
      </w:pPr>
      <w:r w:rsidRPr="002364BB">
        <w:t>The NCQP 202</w:t>
      </w:r>
      <w:r w:rsidR="00921627">
        <w:t>4</w:t>
      </w:r>
      <w:r w:rsidRPr="002364BB">
        <w:t xml:space="preserve"> has been announced. There are 5 streams for which </w:t>
      </w:r>
      <w:r w:rsidR="0043326C" w:rsidRPr="002364BB">
        <w:t>organisation</w:t>
      </w:r>
      <w:r w:rsidR="00921627">
        <w:t>s</w:t>
      </w:r>
      <w:r w:rsidR="0043326C" w:rsidRPr="002364BB">
        <w:t>/companies</w:t>
      </w:r>
      <w:r w:rsidRPr="002364BB">
        <w:t xml:space="preserve"> can apply.</w:t>
      </w:r>
      <w:r w:rsidR="004A613E" w:rsidRPr="002364BB">
        <w:t xml:space="preserve"> The </w:t>
      </w:r>
      <w:r w:rsidR="00921627">
        <w:t>closing date for applications in 30</w:t>
      </w:r>
      <w:r w:rsidR="00921627" w:rsidRPr="00921627">
        <w:rPr>
          <w:vertAlign w:val="superscript"/>
        </w:rPr>
        <w:t>th</w:t>
      </w:r>
      <w:r w:rsidR="00921627">
        <w:t xml:space="preserve"> April 2024.</w:t>
      </w:r>
    </w:p>
    <w:p w14:paraId="0519BFE2" w14:textId="77777777" w:rsidR="0043326C" w:rsidRPr="002364BB" w:rsidRDefault="0043326C" w:rsidP="0043326C">
      <w:pPr>
        <w:rPr>
          <w:b/>
          <w:bCs/>
        </w:rPr>
      </w:pPr>
      <w:r w:rsidRPr="002364BB">
        <w:rPr>
          <w:b/>
          <w:bCs/>
        </w:rPr>
        <w:t>How to register for the NCQP</w:t>
      </w:r>
    </w:p>
    <w:p w14:paraId="3EF4EDEB" w14:textId="237FD62A" w:rsidR="008423A3" w:rsidRPr="002364BB" w:rsidRDefault="008423A3" w:rsidP="008423A3">
      <w:r w:rsidRPr="002364BB">
        <w:t>The</w:t>
      </w:r>
      <w:r w:rsidR="004A613E" w:rsidRPr="002364BB">
        <w:t xml:space="preserve"> five streams</w:t>
      </w:r>
      <w:r w:rsidRPr="002364BB">
        <w:t xml:space="preserve"> are </w:t>
      </w:r>
      <w:r w:rsidR="00575B3C" w:rsidRPr="002364BB">
        <w:t>as follows:</w:t>
      </w:r>
    </w:p>
    <w:p w14:paraId="696AA1D7" w14:textId="1C359FF7" w:rsidR="008423A3" w:rsidRPr="002364BB" w:rsidRDefault="008423A3" w:rsidP="00304353">
      <w:pPr>
        <w:ind w:left="1440" w:hanging="1440"/>
      </w:pPr>
      <w:r w:rsidRPr="002364BB">
        <w:rPr>
          <w:b/>
          <w:bCs/>
        </w:rPr>
        <w:t>Quality Control Circles (QCC)</w:t>
      </w:r>
      <w:r w:rsidRPr="002364BB">
        <w:tab/>
        <w:t xml:space="preserve">Team of </w:t>
      </w:r>
      <w:r w:rsidR="00575B3C" w:rsidRPr="002364BB">
        <w:t xml:space="preserve">approximately </w:t>
      </w:r>
      <w:r w:rsidR="00304353" w:rsidRPr="002364BB">
        <w:t>3</w:t>
      </w:r>
      <w:r w:rsidRPr="002364BB">
        <w:t xml:space="preserve"> to </w:t>
      </w:r>
      <w:r w:rsidR="00575B3C" w:rsidRPr="002364BB">
        <w:t>1</w:t>
      </w:r>
      <w:r w:rsidR="00304353" w:rsidRPr="002364BB">
        <w:t>2</w:t>
      </w:r>
      <w:r w:rsidRPr="002364BB">
        <w:t xml:space="preserve"> </w:t>
      </w:r>
      <w:r w:rsidR="003E6F85" w:rsidRPr="002364BB">
        <w:t>employees</w:t>
      </w:r>
      <w:r w:rsidRPr="002364BB">
        <w:t xml:space="preserve"> </w:t>
      </w:r>
      <w:r w:rsidR="00575B3C" w:rsidRPr="002364BB">
        <w:t>engaged in</w:t>
      </w:r>
      <w:r w:rsidR="003E6F85" w:rsidRPr="002364BB">
        <w:t xml:space="preserve"> </w:t>
      </w:r>
      <w:r w:rsidR="00406ADE" w:rsidRPr="002364BB">
        <w:t xml:space="preserve">same </w:t>
      </w:r>
      <w:r w:rsidR="00304353" w:rsidRPr="002364BB">
        <w:t xml:space="preserve">or </w:t>
      </w:r>
      <w:r w:rsidR="00406ADE" w:rsidRPr="002364BB">
        <w:t>similar</w:t>
      </w:r>
      <w:r w:rsidR="003E6F85" w:rsidRPr="002364BB">
        <w:t xml:space="preserve"> </w:t>
      </w:r>
      <w:r w:rsidR="00575B3C" w:rsidRPr="002364BB">
        <w:t>work</w:t>
      </w:r>
      <w:r w:rsidR="00304353" w:rsidRPr="002364BB">
        <w:t xml:space="preserve"> and meets regularly to identify, analyse </w:t>
      </w:r>
      <w:r w:rsidR="00406ADE" w:rsidRPr="002364BB">
        <w:t>to systematically</w:t>
      </w:r>
      <w:r w:rsidR="00304353" w:rsidRPr="002364BB">
        <w:t xml:space="preserve"> solve work related problems.</w:t>
      </w:r>
    </w:p>
    <w:p w14:paraId="4B4A6C95" w14:textId="231954EB" w:rsidR="00304353" w:rsidRPr="002364BB" w:rsidRDefault="008423A3" w:rsidP="00304353">
      <w:pPr>
        <w:ind w:left="1440" w:hanging="1440"/>
        <w:rPr>
          <w:rFonts w:cstheme="minorHAnsi"/>
          <w:color w:val="040C28"/>
        </w:rPr>
      </w:pPr>
      <w:r w:rsidRPr="002364BB">
        <w:rPr>
          <w:rFonts w:cstheme="minorHAnsi"/>
          <w:b/>
          <w:bCs/>
        </w:rPr>
        <w:t>Cross-Functional Teams (CFT)</w:t>
      </w:r>
      <w:r w:rsidRPr="002364BB">
        <w:rPr>
          <w:rFonts w:cstheme="minorHAnsi"/>
        </w:rPr>
        <w:tab/>
        <w:t xml:space="preserve">Team </w:t>
      </w:r>
      <w:r w:rsidR="00575B3C" w:rsidRPr="002364BB">
        <w:rPr>
          <w:rFonts w:cstheme="minorHAnsi"/>
        </w:rPr>
        <w:t>of</w:t>
      </w:r>
      <w:r w:rsidR="00575B3C" w:rsidRPr="002364BB">
        <w:rPr>
          <w:rFonts w:cstheme="minorHAnsi"/>
          <w:color w:val="040C28"/>
        </w:rPr>
        <w:t xml:space="preserve"> </w:t>
      </w:r>
      <w:r w:rsidR="00304353" w:rsidRPr="002364BB">
        <w:rPr>
          <w:rFonts w:cstheme="minorHAnsi"/>
          <w:color w:val="040C28"/>
        </w:rPr>
        <w:t xml:space="preserve">employees from </w:t>
      </w:r>
      <w:r w:rsidR="00575B3C" w:rsidRPr="002364BB">
        <w:rPr>
          <w:rFonts w:cstheme="minorHAnsi"/>
          <w:color w:val="040C28"/>
        </w:rPr>
        <w:t xml:space="preserve">different </w:t>
      </w:r>
      <w:r w:rsidR="00304353" w:rsidRPr="002364BB">
        <w:rPr>
          <w:rFonts w:cstheme="minorHAnsi"/>
          <w:color w:val="040C28"/>
        </w:rPr>
        <w:t xml:space="preserve">functional areas and different seniority levels within an organisation who collaborate to </w:t>
      </w:r>
      <w:r w:rsidR="00406ADE" w:rsidRPr="002364BB">
        <w:rPr>
          <w:rFonts w:cstheme="minorHAnsi"/>
          <w:color w:val="040C28"/>
        </w:rPr>
        <w:t xml:space="preserve">solve a problem or to </w:t>
      </w:r>
      <w:r w:rsidR="00304353" w:rsidRPr="002364BB">
        <w:rPr>
          <w:rFonts w:cstheme="minorHAnsi"/>
          <w:color w:val="040C28"/>
        </w:rPr>
        <w:t>reach a stated goal</w:t>
      </w:r>
      <w:r w:rsidR="00406ADE" w:rsidRPr="002364BB">
        <w:rPr>
          <w:rFonts w:cstheme="minorHAnsi"/>
          <w:color w:val="040C28"/>
        </w:rPr>
        <w:t xml:space="preserve"> of improvement</w:t>
      </w:r>
      <w:r w:rsidR="00F55AEA" w:rsidRPr="002364BB">
        <w:rPr>
          <w:rFonts w:cstheme="minorHAnsi"/>
          <w:color w:val="040C28"/>
        </w:rPr>
        <w:t>.</w:t>
      </w:r>
    </w:p>
    <w:p w14:paraId="323D71E6" w14:textId="596EAE36" w:rsidR="00921627" w:rsidRDefault="008423A3" w:rsidP="00256BB1">
      <w:pPr>
        <w:ind w:left="1440" w:hanging="1440"/>
        <w:rPr>
          <w:rFonts w:cstheme="minorHAnsi"/>
          <w:color w:val="202124"/>
          <w:shd w:val="clear" w:color="auto" w:fill="FFFFFF"/>
        </w:rPr>
      </w:pPr>
      <w:r w:rsidRPr="002364BB">
        <w:rPr>
          <w:rFonts w:cstheme="minorHAnsi"/>
          <w:b/>
          <w:bCs/>
        </w:rPr>
        <w:t>Quality Improvement Projects</w:t>
      </w:r>
      <w:r w:rsidR="00F77712">
        <w:rPr>
          <w:rFonts w:cstheme="minorHAnsi"/>
          <w:b/>
          <w:bCs/>
        </w:rPr>
        <w:t xml:space="preserve"> </w:t>
      </w:r>
      <w:r w:rsidR="0043326C" w:rsidRPr="002364BB">
        <w:rPr>
          <w:rFonts w:cstheme="minorHAnsi"/>
        </w:rPr>
        <w:t>(</w:t>
      </w:r>
      <w:r w:rsidR="0043326C" w:rsidRPr="002364BB">
        <w:rPr>
          <w:rFonts w:cstheme="minorHAnsi"/>
          <w:b/>
          <w:bCs/>
        </w:rPr>
        <w:t>QIP)</w:t>
      </w:r>
      <w:r w:rsidRPr="002364BB">
        <w:rPr>
          <w:rFonts w:cstheme="minorHAnsi"/>
        </w:rPr>
        <w:tab/>
      </w:r>
      <w:r w:rsidR="0043326C" w:rsidRPr="002364BB">
        <w:rPr>
          <w:rFonts w:cstheme="minorHAnsi"/>
          <w:color w:val="202124"/>
          <w:shd w:val="clear" w:color="auto" w:fill="FFFFFF"/>
        </w:rPr>
        <w:t>S</w:t>
      </w:r>
      <w:r w:rsidR="00256BB1" w:rsidRPr="002364BB">
        <w:rPr>
          <w:rFonts w:cstheme="minorHAnsi"/>
          <w:color w:val="202124"/>
          <w:shd w:val="clear" w:color="auto" w:fill="FFFFFF"/>
        </w:rPr>
        <w:t>ystematic, data-guided initiatives or processes designed to</w:t>
      </w:r>
      <w:r w:rsidR="00256BB1" w:rsidRPr="002364BB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256BB1" w:rsidRPr="002364BB">
        <w:rPr>
          <w:rFonts w:cstheme="minorHAnsi"/>
          <w:color w:val="202124"/>
          <w:shd w:val="clear" w:color="auto" w:fill="FFFFFF"/>
        </w:rPr>
        <w:t>improve clinical care, patient safety, health care operations, service</w:t>
      </w:r>
      <w:r w:rsidR="00921627">
        <w:rPr>
          <w:rFonts w:cstheme="minorHAnsi"/>
          <w:color w:val="202124"/>
          <w:shd w:val="clear" w:color="auto" w:fill="FFFFFF"/>
        </w:rPr>
        <w:t xml:space="preserve"> sector organisations where quality improvement is imperative and is supported by data collection relevant to the project.</w:t>
      </w:r>
    </w:p>
    <w:p w14:paraId="6574F599" w14:textId="061E3279" w:rsidR="00256BB1" w:rsidRPr="002364BB" w:rsidRDefault="00F77712" w:rsidP="00921627">
      <w:pPr>
        <w:ind w:left="1440"/>
        <w:rPr>
          <w:rFonts w:cstheme="minorHAnsi"/>
          <w:color w:val="202124"/>
          <w:sz w:val="30"/>
          <w:szCs w:val="30"/>
          <w:shd w:val="clear" w:color="auto" w:fill="FFFFFF"/>
        </w:rPr>
      </w:pPr>
      <w:r>
        <w:rPr>
          <w:rFonts w:cstheme="minorHAnsi"/>
        </w:rPr>
        <w:t>The service sector comprises of Architectural designs, Hair and Beauticians, Dental Practice, Clinics, Hotels, Postal service, solicitors etc</w:t>
      </w:r>
    </w:p>
    <w:p w14:paraId="3EAC221F" w14:textId="4F83122A" w:rsidR="00921627" w:rsidRPr="002364BB" w:rsidRDefault="00921627" w:rsidP="00921627">
      <w:pPr>
        <w:ind w:left="1440" w:hanging="1440"/>
        <w:rPr>
          <w:rFonts w:cstheme="minorHAnsi"/>
        </w:rPr>
      </w:pPr>
      <w:r w:rsidRPr="002364BB">
        <w:rPr>
          <w:b/>
          <w:bCs/>
        </w:rPr>
        <w:t xml:space="preserve">Lean Six Sigma </w:t>
      </w:r>
      <w:proofErr w:type="gramStart"/>
      <w:r w:rsidRPr="002364BB">
        <w:rPr>
          <w:b/>
          <w:bCs/>
        </w:rPr>
        <w:t>Teams(</w:t>
      </w:r>
      <w:proofErr w:type="gramEnd"/>
      <w:r w:rsidRPr="002364BB">
        <w:rPr>
          <w:b/>
          <w:bCs/>
        </w:rPr>
        <w:t>LSS)</w:t>
      </w:r>
      <w:r w:rsidRPr="002364BB">
        <w:tab/>
        <w:t xml:space="preserve">Minimising waste and driving towards defect free status. It is to </w:t>
      </w:r>
      <w:r w:rsidRPr="002364BB">
        <w:rPr>
          <w:rFonts w:cstheme="minorHAnsi"/>
          <w:color w:val="040C28"/>
        </w:rPr>
        <w:t>eliminate the waste of physical resources, time, effort, and talent while assuring quality in production and organizational processes.</w:t>
      </w:r>
    </w:p>
    <w:p w14:paraId="301C5C6A" w14:textId="77777777" w:rsidR="00921627" w:rsidRPr="002364BB" w:rsidRDefault="00921627" w:rsidP="00921627">
      <w:pPr>
        <w:ind w:left="1440" w:hanging="1440"/>
      </w:pPr>
      <w:r w:rsidRPr="002364BB">
        <w:rPr>
          <w:b/>
          <w:bCs/>
        </w:rPr>
        <w:t xml:space="preserve">Kaizen Suggestion </w:t>
      </w:r>
      <w:proofErr w:type="gramStart"/>
      <w:r w:rsidRPr="002364BB">
        <w:rPr>
          <w:b/>
          <w:bCs/>
        </w:rPr>
        <w:t>Scheme(</w:t>
      </w:r>
      <w:proofErr w:type="gramEnd"/>
      <w:r w:rsidRPr="002364BB">
        <w:rPr>
          <w:b/>
          <w:bCs/>
        </w:rPr>
        <w:t>KSS)</w:t>
      </w:r>
      <w:r w:rsidRPr="002364BB">
        <w:t xml:space="preserve"> </w:t>
      </w:r>
      <w:r w:rsidRPr="002364BB">
        <w:tab/>
        <w:t>Individual or group working towards same objective. It is expected that one or more of the areas namely Productivity, Quality, Cost, Delivery, Safety or Morale will be addressed.</w:t>
      </w:r>
    </w:p>
    <w:p w14:paraId="7F2B6419" w14:textId="77777777" w:rsidR="00921627" w:rsidRPr="002364BB" w:rsidRDefault="00921627" w:rsidP="002946BD">
      <w:pPr>
        <w:ind w:left="1440"/>
        <w:rPr>
          <w:rFonts w:cstheme="minorHAnsi"/>
          <w:color w:val="4D5156"/>
          <w:shd w:val="clear" w:color="auto" w:fill="FFFFFF"/>
        </w:rPr>
      </w:pPr>
    </w:p>
    <w:p w14:paraId="17146B9C" w14:textId="0570FDA4" w:rsidR="00790524" w:rsidRPr="002364BB" w:rsidRDefault="00790524" w:rsidP="004A613E">
      <w:pPr>
        <w:jc w:val="both"/>
        <w:rPr>
          <w:b/>
          <w:bCs/>
        </w:rPr>
      </w:pPr>
      <w:r w:rsidRPr="002364BB">
        <w:rPr>
          <w:b/>
          <w:bCs/>
        </w:rPr>
        <w:t>Application Procedure</w:t>
      </w:r>
    </w:p>
    <w:p w14:paraId="5D28CE62" w14:textId="624FF767" w:rsidR="008423A3" w:rsidRPr="002364BB" w:rsidRDefault="00790524" w:rsidP="004A613E">
      <w:pPr>
        <w:jc w:val="both"/>
      </w:pPr>
      <w:r w:rsidRPr="002364BB">
        <w:rPr>
          <w:b/>
          <w:bCs/>
        </w:rPr>
        <w:t xml:space="preserve">FOR </w:t>
      </w:r>
      <w:r w:rsidR="008423A3" w:rsidRPr="002364BB">
        <w:rPr>
          <w:b/>
          <w:bCs/>
        </w:rPr>
        <w:t xml:space="preserve">Kaizen Suggestion </w:t>
      </w:r>
      <w:proofErr w:type="gramStart"/>
      <w:r w:rsidR="008423A3" w:rsidRPr="002364BB">
        <w:rPr>
          <w:b/>
          <w:bCs/>
        </w:rPr>
        <w:t>Scheme</w:t>
      </w:r>
      <w:r w:rsidR="000858AE" w:rsidRPr="002364BB">
        <w:rPr>
          <w:b/>
          <w:bCs/>
        </w:rPr>
        <w:t>(</w:t>
      </w:r>
      <w:proofErr w:type="gramEnd"/>
      <w:r w:rsidR="000858AE" w:rsidRPr="002364BB">
        <w:rPr>
          <w:b/>
          <w:bCs/>
        </w:rPr>
        <w:t xml:space="preserve">KSS) </w:t>
      </w:r>
      <w:r w:rsidR="003E6F85" w:rsidRPr="002364BB">
        <w:t>F</w:t>
      </w:r>
      <w:r w:rsidR="008423A3" w:rsidRPr="002364BB">
        <w:t xml:space="preserve">ill in </w:t>
      </w:r>
      <w:r w:rsidR="003E6F85" w:rsidRPr="002364BB">
        <w:t xml:space="preserve">the </w:t>
      </w:r>
      <w:r w:rsidR="00AE776A" w:rsidRPr="002364BB">
        <w:t xml:space="preserve">Preliminary Application </w:t>
      </w:r>
      <w:r w:rsidR="008423A3" w:rsidRPr="002364BB">
        <w:t xml:space="preserve">Form </w:t>
      </w:r>
      <w:r w:rsidR="0043326C" w:rsidRPr="002364BB">
        <w:t>for</w:t>
      </w:r>
      <w:r w:rsidR="008423A3" w:rsidRPr="002364BB">
        <w:t xml:space="preserve"> Kaizen suggestion scheme</w:t>
      </w:r>
      <w:r w:rsidR="003E6F85" w:rsidRPr="002364BB">
        <w:t>. T</w:t>
      </w:r>
      <w:r w:rsidR="00393CFF" w:rsidRPr="002364BB">
        <w:t>hen</w:t>
      </w:r>
      <w:r w:rsidR="008423A3" w:rsidRPr="002364BB">
        <w:t xml:space="preserve"> fill in the Kaizen application form </w:t>
      </w:r>
      <w:r w:rsidR="0043326C" w:rsidRPr="002364BB">
        <w:t xml:space="preserve">(Form </w:t>
      </w:r>
      <w:r w:rsidRPr="002364BB">
        <w:t>K</w:t>
      </w:r>
      <w:r w:rsidR="0043326C" w:rsidRPr="002364BB">
        <w:t xml:space="preserve">) </w:t>
      </w:r>
      <w:r w:rsidR="008423A3" w:rsidRPr="002364BB">
        <w:t xml:space="preserve">with information </w:t>
      </w:r>
      <w:r w:rsidR="00393CFF" w:rsidRPr="002364BB">
        <w:t>relating</w:t>
      </w:r>
      <w:r w:rsidR="008423A3" w:rsidRPr="002364BB">
        <w:t xml:space="preserve"> to the work </w:t>
      </w:r>
      <w:r w:rsidR="003E6F85" w:rsidRPr="002364BB">
        <w:t>that has been</w:t>
      </w:r>
      <w:r w:rsidR="008423A3" w:rsidRPr="002364BB">
        <w:t xml:space="preserve"> implemented. Also indicate the area </w:t>
      </w:r>
      <w:r w:rsidR="00516D34" w:rsidRPr="002364BB">
        <w:t>of implementation of</w:t>
      </w:r>
      <w:r w:rsidR="008423A3" w:rsidRPr="002364BB">
        <w:t xml:space="preserve"> the </w:t>
      </w:r>
      <w:proofErr w:type="gramStart"/>
      <w:r w:rsidR="008423A3" w:rsidRPr="002364BB">
        <w:t>Kaizen</w:t>
      </w:r>
      <w:r w:rsidR="00AE776A" w:rsidRPr="002364BB">
        <w:t>(</w:t>
      </w:r>
      <w:proofErr w:type="gramEnd"/>
      <w:r w:rsidR="00AE776A" w:rsidRPr="002364BB">
        <w:t>P</w:t>
      </w:r>
      <w:r w:rsidRPr="002364BB">
        <w:t xml:space="preserve">, </w:t>
      </w:r>
      <w:r w:rsidR="00AE776A" w:rsidRPr="002364BB">
        <w:t>Q</w:t>
      </w:r>
      <w:r w:rsidRPr="002364BB">
        <w:t xml:space="preserve">, </w:t>
      </w:r>
      <w:r w:rsidR="00AE776A" w:rsidRPr="002364BB">
        <w:t>C</w:t>
      </w:r>
      <w:r w:rsidRPr="002364BB">
        <w:t xml:space="preserve">, </w:t>
      </w:r>
      <w:r w:rsidR="00AE776A" w:rsidRPr="002364BB">
        <w:t>D</w:t>
      </w:r>
      <w:r w:rsidRPr="002364BB">
        <w:t xml:space="preserve">, </w:t>
      </w:r>
      <w:r w:rsidR="00AE776A" w:rsidRPr="002364BB">
        <w:t>S</w:t>
      </w:r>
      <w:r w:rsidRPr="002364BB">
        <w:t xml:space="preserve">, </w:t>
      </w:r>
      <w:r w:rsidR="00AE776A" w:rsidRPr="002364BB">
        <w:t>M)</w:t>
      </w:r>
      <w:r w:rsidR="008423A3" w:rsidRPr="002364BB">
        <w:t xml:space="preserve">. Application fee </w:t>
      </w:r>
      <w:r w:rsidR="0043326C" w:rsidRPr="002364BB">
        <w:t xml:space="preserve">is </w:t>
      </w:r>
      <w:r w:rsidR="008423A3" w:rsidRPr="002364BB">
        <w:t>Rs.</w:t>
      </w:r>
      <w:r w:rsidR="00F77712">
        <w:t>3</w:t>
      </w:r>
      <w:r w:rsidR="008423A3" w:rsidRPr="002364BB">
        <w:t xml:space="preserve">500/-. </w:t>
      </w:r>
      <w:r w:rsidR="002946BD" w:rsidRPr="002364BB">
        <w:t>The deadline for submission is</w:t>
      </w:r>
      <w:r w:rsidR="00FD30CE">
        <w:t xml:space="preserve"> Tues</w:t>
      </w:r>
      <w:r w:rsidR="002946BD" w:rsidRPr="002364BB">
        <w:t xml:space="preserve">day, </w:t>
      </w:r>
      <w:r w:rsidR="00F77712">
        <w:t>25</w:t>
      </w:r>
      <w:r w:rsidR="00F77712" w:rsidRPr="00F77712">
        <w:rPr>
          <w:vertAlign w:val="superscript"/>
        </w:rPr>
        <w:t>th</w:t>
      </w:r>
      <w:r w:rsidR="00F77712">
        <w:t xml:space="preserve"> April 2024</w:t>
      </w:r>
      <w:r w:rsidR="002946BD" w:rsidRPr="002364BB">
        <w:t>.</w:t>
      </w:r>
      <w:r w:rsidR="00F77712">
        <w:t xml:space="preserve"> One certificate will be issued to the Kai-zen suggestion team. If</w:t>
      </w:r>
      <w:r w:rsidR="00921627">
        <w:t xml:space="preserve"> additional</w:t>
      </w:r>
      <w:r w:rsidR="00F77712">
        <w:t xml:space="preserve"> individual certificates are requested each certificate </w:t>
      </w:r>
      <w:r w:rsidR="00921627">
        <w:t>w</w:t>
      </w:r>
      <w:r w:rsidR="00F77712">
        <w:t>ill be Rs.1000/-</w:t>
      </w:r>
      <w:r w:rsidR="00145B1F">
        <w:t xml:space="preserve"> and will be prepared after the NCQP event</w:t>
      </w:r>
      <w:r w:rsidR="00F77712">
        <w:t>.</w:t>
      </w:r>
    </w:p>
    <w:p w14:paraId="43E0CF9D" w14:textId="0483EB08" w:rsidR="008423A3" w:rsidRPr="002364BB" w:rsidRDefault="004543D9" w:rsidP="004A613E">
      <w:pPr>
        <w:jc w:val="both"/>
      </w:pPr>
      <w:r w:rsidRPr="002364BB">
        <w:t xml:space="preserve">A qualified team will be marking the suggestions submitted. Marks will be </w:t>
      </w:r>
      <w:r w:rsidR="00145B1F">
        <w:t>awarded</w:t>
      </w:r>
      <w:r w:rsidRPr="002364BB">
        <w:t xml:space="preserve"> </w:t>
      </w:r>
      <w:r w:rsidR="00AE776A" w:rsidRPr="002364BB">
        <w:t>according to the marking scheme.</w:t>
      </w:r>
      <w:r w:rsidRPr="002364BB">
        <w:t xml:space="preserve"> </w:t>
      </w:r>
      <w:r w:rsidR="008423A3" w:rsidRPr="002364BB">
        <w:t xml:space="preserve">The top ten Kaizen suggestions will be commended at the NCQP and </w:t>
      </w:r>
      <w:r w:rsidR="00145B1F">
        <w:t xml:space="preserve">one person per suggestion </w:t>
      </w:r>
      <w:r w:rsidR="008423A3" w:rsidRPr="002364BB">
        <w:t xml:space="preserve">will be invited to the award presentation. All other </w:t>
      </w:r>
      <w:r w:rsidR="002946BD" w:rsidRPr="002364BB">
        <w:t>suggestions that</w:t>
      </w:r>
      <w:r w:rsidR="008423A3" w:rsidRPr="002364BB">
        <w:t xml:space="preserve"> obtain </w:t>
      </w:r>
      <w:r w:rsidR="009C524A" w:rsidRPr="002364BB">
        <w:t>5</w:t>
      </w:r>
      <w:r w:rsidR="008423A3" w:rsidRPr="002364BB">
        <w:t xml:space="preserve">0% or more marks </w:t>
      </w:r>
      <w:r w:rsidR="00AE776A" w:rsidRPr="002364BB">
        <w:t>are</w:t>
      </w:r>
      <w:r w:rsidR="008423A3" w:rsidRPr="002364BB">
        <w:t xml:space="preserve"> eligible for a certificate</w:t>
      </w:r>
      <w:r w:rsidR="002946BD" w:rsidRPr="002364BB">
        <w:t xml:space="preserve"> of commendation</w:t>
      </w:r>
      <w:r w:rsidR="008423A3" w:rsidRPr="002364BB">
        <w:t xml:space="preserve"> from the SLAAQP</w:t>
      </w:r>
      <w:r w:rsidR="00AE776A" w:rsidRPr="002364BB">
        <w:t>.</w:t>
      </w:r>
    </w:p>
    <w:p w14:paraId="061E9AB6" w14:textId="77777777" w:rsidR="000A56AD" w:rsidRDefault="000A56AD" w:rsidP="004A613E">
      <w:pPr>
        <w:jc w:val="both"/>
        <w:rPr>
          <w:b/>
          <w:bCs/>
        </w:rPr>
      </w:pPr>
    </w:p>
    <w:p w14:paraId="0F95DC0D" w14:textId="53D0A389" w:rsidR="00790524" w:rsidRPr="002364BB" w:rsidRDefault="00790524" w:rsidP="004A613E">
      <w:pPr>
        <w:jc w:val="both"/>
        <w:rPr>
          <w:b/>
          <w:bCs/>
        </w:rPr>
      </w:pPr>
      <w:r w:rsidRPr="002364BB">
        <w:rPr>
          <w:b/>
          <w:bCs/>
        </w:rPr>
        <w:t>FOR QCC/CFT/QIP</w:t>
      </w:r>
      <w:r w:rsidR="00145B1F" w:rsidRPr="002364BB">
        <w:rPr>
          <w:b/>
          <w:bCs/>
        </w:rPr>
        <w:t>/LSS</w:t>
      </w:r>
    </w:p>
    <w:p w14:paraId="278E2180" w14:textId="63DC4F05" w:rsidR="00E75753" w:rsidRPr="002364BB" w:rsidRDefault="00E75753" w:rsidP="004A613E">
      <w:pPr>
        <w:jc w:val="both"/>
      </w:pPr>
      <w:r w:rsidRPr="002364BB">
        <w:t xml:space="preserve">All other teams have a </w:t>
      </w:r>
      <w:r w:rsidR="002946BD" w:rsidRPr="002364BB">
        <w:t>two-step</w:t>
      </w:r>
      <w:r w:rsidRPr="002364BB">
        <w:t xml:space="preserve"> payment process. Step 1 </w:t>
      </w:r>
      <w:r w:rsidR="002946BD" w:rsidRPr="002364BB">
        <w:t xml:space="preserve">is </w:t>
      </w:r>
      <w:r w:rsidRPr="002364BB">
        <w:t xml:space="preserve">to register the team </w:t>
      </w:r>
      <w:r w:rsidR="002946BD" w:rsidRPr="002364BB">
        <w:t xml:space="preserve">by paying the appropriate registration fee </w:t>
      </w:r>
      <w:r w:rsidRPr="002364BB">
        <w:t xml:space="preserve">and Step 2 </w:t>
      </w:r>
      <w:r w:rsidR="002946BD" w:rsidRPr="002364BB">
        <w:t xml:space="preserve">is </w:t>
      </w:r>
      <w:r w:rsidRPr="002364BB">
        <w:t xml:space="preserve">to </w:t>
      </w:r>
      <w:r w:rsidR="00E011DD">
        <w:t xml:space="preserve">submit </w:t>
      </w:r>
      <w:r w:rsidRPr="002364BB">
        <w:t>inform</w:t>
      </w:r>
      <w:r w:rsidR="00E011DD">
        <w:t>ation of</w:t>
      </w:r>
      <w:r w:rsidRPr="002364BB">
        <w:t xml:space="preserve"> the team members participating on the presentation day</w:t>
      </w:r>
      <w:r w:rsidR="002946BD" w:rsidRPr="002364BB">
        <w:t xml:space="preserve"> along with submission documents</w:t>
      </w:r>
      <w:r w:rsidR="004A613E" w:rsidRPr="002364BB">
        <w:t>; -</w:t>
      </w:r>
      <w:r w:rsidR="002946BD" w:rsidRPr="002364BB">
        <w:t xml:space="preserve"> </w:t>
      </w:r>
      <w:r w:rsidR="004A613E" w:rsidRPr="002364BB">
        <w:t xml:space="preserve">The Report, the Abstract and </w:t>
      </w:r>
      <w:r w:rsidR="00516D34" w:rsidRPr="002364BB">
        <w:t>the</w:t>
      </w:r>
      <w:r w:rsidR="004A613E" w:rsidRPr="002364BB">
        <w:t xml:space="preserve"> PowerPoint presentation and the proof of payment. The deadline for this is </w:t>
      </w:r>
      <w:r w:rsidR="00E011DD">
        <w:t>Sun</w:t>
      </w:r>
      <w:r w:rsidR="004A613E" w:rsidRPr="002364BB">
        <w:t xml:space="preserve">day, </w:t>
      </w:r>
      <w:r w:rsidR="00E011DD">
        <w:t>30</w:t>
      </w:r>
      <w:r w:rsidR="00E011DD" w:rsidRPr="00E011DD">
        <w:rPr>
          <w:vertAlign w:val="superscript"/>
        </w:rPr>
        <w:t>th</w:t>
      </w:r>
      <w:r w:rsidR="00E011DD">
        <w:t xml:space="preserve"> April 2024</w:t>
      </w:r>
      <w:r w:rsidR="004A613E" w:rsidRPr="002364BB">
        <w:t>.</w:t>
      </w:r>
    </w:p>
    <w:p w14:paraId="05682694" w14:textId="1D9A8D6C" w:rsidR="00697821" w:rsidRPr="002364BB" w:rsidRDefault="00697821" w:rsidP="004A613E">
      <w:pPr>
        <w:jc w:val="both"/>
      </w:pPr>
      <w:r w:rsidRPr="002364BB">
        <w:t>Step 1 should be completed by for all streams.</w:t>
      </w:r>
    </w:p>
    <w:p w14:paraId="3C8F80A6" w14:textId="77777777" w:rsidR="00E303C8" w:rsidRPr="002364BB" w:rsidRDefault="00E303C8" w:rsidP="00E303C8">
      <w:pPr>
        <w:rPr>
          <w:b/>
          <w:bCs/>
        </w:rPr>
      </w:pPr>
      <w:r w:rsidRPr="002364BB">
        <w:rPr>
          <w:b/>
          <w:bCs/>
        </w:rPr>
        <w:t>Step 1 Quality Control Circles (QCC)</w:t>
      </w:r>
      <w:r w:rsidRPr="002364BB">
        <w:rPr>
          <w:b/>
          <w:bCs/>
        </w:rPr>
        <w:tab/>
      </w:r>
    </w:p>
    <w:p w14:paraId="684737BE" w14:textId="77777777" w:rsidR="00E303C8" w:rsidRPr="002364BB" w:rsidRDefault="00E303C8" w:rsidP="00E303C8">
      <w:pPr>
        <w:jc w:val="both"/>
      </w:pPr>
      <w:r w:rsidRPr="002364BB">
        <w:t>Please fill in the Preliminary Application Form A. This application should be completed and submitted with the appropriate fee of Rs.1</w:t>
      </w:r>
      <w:r>
        <w:t>5</w:t>
      </w:r>
      <w:r w:rsidRPr="002364BB">
        <w:t>,</w:t>
      </w:r>
      <w:r>
        <w:t>0</w:t>
      </w:r>
      <w:r w:rsidRPr="002364BB">
        <w:t>00/-. A unique registration number will be automatically generated. This number will be used in all correspondence.</w:t>
      </w:r>
    </w:p>
    <w:p w14:paraId="2BF1AC49" w14:textId="0EA45D2E" w:rsidR="00516D34" w:rsidRPr="002364BB" w:rsidRDefault="00516D34" w:rsidP="00516D34">
      <w:pPr>
        <w:jc w:val="both"/>
        <w:rPr>
          <w:b/>
          <w:bCs/>
        </w:rPr>
      </w:pPr>
      <w:r w:rsidRPr="002364BB">
        <w:rPr>
          <w:b/>
          <w:bCs/>
        </w:rPr>
        <w:t xml:space="preserve">Step 1 Cross-Functional </w:t>
      </w:r>
      <w:proofErr w:type="gramStart"/>
      <w:r w:rsidRPr="002364BB">
        <w:rPr>
          <w:b/>
          <w:bCs/>
        </w:rPr>
        <w:t>Teams</w:t>
      </w:r>
      <w:r w:rsidR="009C524A" w:rsidRPr="002364BB">
        <w:rPr>
          <w:b/>
          <w:bCs/>
        </w:rPr>
        <w:t>(</w:t>
      </w:r>
      <w:proofErr w:type="gramEnd"/>
      <w:r w:rsidR="009C524A" w:rsidRPr="002364BB">
        <w:rPr>
          <w:b/>
          <w:bCs/>
        </w:rPr>
        <w:t>CFT)</w:t>
      </w:r>
    </w:p>
    <w:p w14:paraId="716B3712" w14:textId="3122C373" w:rsidR="00516D34" w:rsidRPr="002364BB" w:rsidRDefault="00516D34" w:rsidP="00516D34">
      <w:pPr>
        <w:jc w:val="both"/>
      </w:pPr>
      <w:r w:rsidRPr="002364BB">
        <w:t>Please fill in the Preliminary Application Form A. This application should be completed and submitted with the appropriate fee of Rs.1</w:t>
      </w:r>
      <w:r w:rsidR="00E011DD">
        <w:t>5</w:t>
      </w:r>
      <w:r w:rsidRPr="002364BB">
        <w:t>,</w:t>
      </w:r>
      <w:r w:rsidR="00E011DD">
        <w:t>0</w:t>
      </w:r>
      <w:r w:rsidRPr="002364BB">
        <w:t>00/-. A unique registration number will be automatically generated. This number will be used in all correspondence.</w:t>
      </w:r>
    </w:p>
    <w:p w14:paraId="116A5F62" w14:textId="31BFE829" w:rsidR="00516D34" w:rsidRPr="002364BB" w:rsidRDefault="00516D34" w:rsidP="00516D34">
      <w:pPr>
        <w:rPr>
          <w:b/>
          <w:bCs/>
        </w:rPr>
      </w:pPr>
      <w:r w:rsidRPr="002364BB">
        <w:rPr>
          <w:b/>
          <w:bCs/>
        </w:rPr>
        <w:t xml:space="preserve">Step 1 Quality Improvement </w:t>
      </w:r>
      <w:proofErr w:type="gramStart"/>
      <w:r w:rsidRPr="002364BB">
        <w:rPr>
          <w:b/>
          <w:bCs/>
        </w:rPr>
        <w:t>Projects</w:t>
      </w:r>
      <w:r w:rsidR="009C524A" w:rsidRPr="002364BB">
        <w:rPr>
          <w:b/>
          <w:bCs/>
        </w:rPr>
        <w:t>(</w:t>
      </w:r>
      <w:proofErr w:type="gramEnd"/>
      <w:r w:rsidR="009C524A" w:rsidRPr="002364BB">
        <w:rPr>
          <w:b/>
          <w:bCs/>
        </w:rPr>
        <w:t>QIP)</w:t>
      </w:r>
    </w:p>
    <w:p w14:paraId="10BFAAEA" w14:textId="4225D42A" w:rsidR="00516D34" w:rsidRPr="002364BB" w:rsidRDefault="00516D34" w:rsidP="00516D34">
      <w:r w:rsidRPr="002364BB">
        <w:t>Please fill in the Preliminary Application Form A. This application should be completed and submitted with the appropriate fee of Rs.1</w:t>
      </w:r>
      <w:r w:rsidR="00E303C8">
        <w:t>7</w:t>
      </w:r>
      <w:r w:rsidRPr="002364BB">
        <w:t>,</w:t>
      </w:r>
      <w:r w:rsidR="00E303C8">
        <w:t>5</w:t>
      </w:r>
      <w:r w:rsidRPr="002364BB">
        <w:t>00/-. A unique registration number will be automatically generated. This number will be used in all correspondence.</w:t>
      </w:r>
    </w:p>
    <w:p w14:paraId="43F33FD6" w14:textId="77777777" w:rsidR="00E303C8" w:rsidRPr="002364BB" w:rsidRDefault="00E303C8" w:rsidP="00E303C8">
      <w:pPr>
        <w:rPr>
          <w:b/>
          <w:bCs/>
        </w:rPr>
      </w:pPr>
      <w:r w:rsidRPr="002364BB">
        <w:rPr>
          <w:b/>
          <w:bCs/>
        </w:rPr>
        <w:t>Step 1 Lean Six Sigma teams</w:t>
      </w:r>
      <w:r w:rsidRPr="002364BB">
        <w:rPr>
          <w:b/>
          <w:bCs/>
        </w:rPr>
        <w:tab/>
        <w:t>(LSS)</w:t>
      </w:r>
      <w:r w:rsidRPr="002364BB">
        <w:rPr>
          <w:b/>
          <w:bCs/>
        </w:rPr>
        <w:tab/>
      </w:r>
    </w:p>
    <w:p w14:paraId="65E4BE18" w14:textId="77777777" w:rsidR="00E303C8" w:rsidRPr="002364BB" w:rsidRDefault="00E303C8" w:rsidP="00E303C8">
      <w:r w:rsidRPr="002364BB">
        <w:t>Please fill in the Preliminary Application Form A. This application should be completed and submitted with the appropriate registration fee of Rs.1</w:t>
      </w:r>
      <w:r>
        <w:t>7</w:t>
      </w:r>
      <w:r w:rsidRPr="002364BB">
        <w:t>,500/-. A unique registration number is automatically generated. This number will be used in all correspondence.</w:t>
      </w:r>
    </w:p>
    <w:p w14:paraId="19FD888C" w14:textId="77777777" w:rsidR="00E303C8" w:rsidRPr="00E303C8" w:rsidRDefault="00E75753" w:rsidP="00697821">
      <w:pPr>
        <w:jc w:val="both"/>
        <w:rPr>
          <w:sz w:val="24"/>
          <w:szCs w:val="24"/>
        </w:rPr>
      </w:pPr>
      <w:r w:rsidRPr="002364BB">
        <w:rPr>
          <w:b/>
          <w:bCs/>
        </w:rPr>
        <w:t>Step 2</w:t>
      </w:r>
      <w:r w:rsidR="00697821" w:rsidRPr="002364BB">
        <w:t xml:space="preserve"> </w:t>
      </w:r>
      <w:r w:rsidR="006E71E2" w:rsidRPr="002364BB">
        <w:t xml:space="preserve">is the submission of documents and the team details for participation at the NCQP and </w:t>
      </w:r>
      <w:r w:rsidR="00697821" w:rsidRPr="002364BB">
        <w:t xml:space="preserve">should </w:t>
      </w:r>
      <w:r w:rsidR="00697821" w:rsidRPr="00E303C8">
        <w:rPr>
          <w:sz w:val="24"/>
          <w:szCs w:val="24"/>
        </w:rPr>
        <w:t xml:space="preserve">be completed by 4.00 pm on </w:t>
      </w:r>
      <w:r w:rsidR="00E303C8" w:rsidRPr="00E303C8">
        <w:rPr>
          <w:sz w:val="24"/>
          <w:szCs w:val="24"/>
        </w:rPr>
        <w:t>30</w:t>
      </w:r>
      <w:r w:rsidR="00E303C8" w:rsidRPr="00E303C8">
        <w:rPr>
          <w:sz w:val="24"/>
          <w:szCs w:val="24"/>
          <w:vertAlign w:val="superscript"/>
        </w:rPr>
        <w:t>th</w:t>
      </w:r>
      <w:r w:rsidR="00E303C8" w:rsidRPr="00E303C8">
        <w:rPr>
          <w:sz w:val="24"/>
          <w:szCs w:val="24"/>
        </w:rPr>
        <w:t xml:space="preserve"> April</w:t>
      </w:r>
      <w:r w:rsidR="00697821" w:rsidRPr="00E303C8">
        <w:rPr>
          <w:sz w:val="24"/>
          <w:szCs w:val="24"/>
        </w:rPr>
        <w:t xml:space="preserve"> 202</w:t>
      </w:r>
      <w:r w:rsidR="00E303C8" w:rsidRPr="00E303C8">
        <w:rPr>
          <w:sz w:val="24"/>
          <w:szCs w:val="24"/>
        </w:rPr>
        <w:t>4</w:t>
      </w:r>
      <w:r w:rsidR="00697821" w:rsidRPr="00E303C8">
        <w:rPr>
          <w:sz w:val="24"/>
          <w:szCs w:val="24"/>
        </w:rPr>
        <w:t>.</w:t>
      </w:r>
      <w:r w:rsidR="006E71E2" w:rsidRPr="00E303C8">
        <w:rPr>
          <w:sz w:val="24"/>
          <w:szCs w:val="24"/>
        </w:rPr>
        <w:t xml:space="preserve"> A participation fee of Rs.6</w:t>
      </w:r>
      <w:r w:rsidR="00E303C8" w:rsidRPr="00E303C8">
        <w:rPr>
          <w:sz w:val="24"/>
          <w:szCs w:val="24"/>
        </w:rPr>
        <w:t>8</w:t>
      </w:r>
      <w:r w:rsidR="006E71E2" w:rsidRPr="00E303C8">
        <w:rPr>
          <w:sz w:val="24"/>
          <w:szCs w:val="24"/>
        </w:rPr>
        <w:t xml:space="preserve">00/- per </w:t>
      </w:r>
      <w:proofErr w:type="gramStart"/>
      <w:r w:rsidR="006E71E2" w:rsidRPr="00E303C8">
        <w:rPr>
          <w:sz w:val="24"/>
          <w:szCs w:val="24"/>
        </w:rPr>
        <w:t>person</w:t>
      </w:r>
      <w:r w:rsidR="00790524" w:rsidRPr="00E303C8">
        <w:rPr>
          <w:sz w:val="24"/>
          <w:szCs w:val="24"/>
        </w:rPr>
        <w:t>(</w:t>
      </w:r>
      <w:proofErr w:type="gramEnd"/>
      <w:r w:rsidR="00790524" w:rsidRPr="00E303C8">
        <w:rPr>
          <w:sz w:val="24"/>
          <w:szCs w:val="24"/>
        </w:rPr>
        <w:t>all expenses covering the presentation, evaluation, refreshments, certificates etc)</w:t>
      </w:r>
      <w:r w:rsidR="006E71E2" w:rsidRPr="00E303C8">
        <w:rPr>
          <w:sz w:val="24"/>
          <w:szCs w:val="24"/>
        </w:rPr>
        <w:t xml:space="preserve"> should be paid and the proof of payment submitted to the SLAAQP office with the submission documents. </w:t>
      </w:r>
    </w:p>
    <w:p w14:paraId="6737E1A0" w14:textId="4CDB5477" w:rsidR="00790524" w:rsidRPr="00E303C8" w:rsidRDefault="006E71E2" w:rsidP="00697821">
      <w:pPr>
        <w:jc w:val="both"/>
        <w:rPr>
          <w:sz w:val="24"/>
          <w:szCs w:val="24"/>
        </w:rPr>
      </w:pPr>
      <w:r w:rsidRPr="00E303C8">
        <w:rPr>
          <w:sz w:val="24"/>
          <w:szCs w:val="24"/>
        </w:rPr>
        <w:t xml:space="preserve">The team members whose names are given in the </w:t>
      </w:r>
      <w:r w:rsidR="00FC5155" w:rsidRPr="00E303C8">
        <w:rPr>
          <w:sz w:val="24"/>
          <w:szCs w:val="24"/>
        </w:rPr>
        <w:t>composition of teams</w:t>
      </w:r>
      <w:r w:rsidRPr="00E303C8">
        <w:rPr>
          <w:sz w:val="24"/>
          <w:szCs w:val="24"/>
        </w:rPr>
        <w:t xml:space="preserve"> </w:t>
      </w:r>
      <w:r w:rsidR="00E303C8" w:rsidRPr="00E303C8">
        <w:rPr>
          <w:sz w:val="24"/>
          <w:szCs w:val="24"/>
        </w:rPr>
        <w:t xml:space="preserve">and included in the report </w:t>
      </w:r>
      <w:r w:rsidRPr="00E303C8">
        <w:rPr>
          <w:sz w:val="24"/>
          <w:szCs w:val="24"/>
        </w:rPr>
        <w:t xml:space="preserve">will be </w:t>
      </w:r>
      <w:r w:rsidR="00FC5155" w:rsidRPr="00E303C8">
        <w:rPr>
          <w:sz w:val="24"/>
          <w:szCs w:val="24"/>
        </w:rPr>
        <w:t>eligible for a</w:t>
      </w:r>
      <w:r w:rsidRPr="00E303C8">
        <w:rPr>
          <w:sz w:val="24"/>
          <w:szCs w:val="24"/>
        </w:rPr>
        <w:t xml:space="preserve"> certificate. </w:t>
      </w:r>
      <w:r w:rsidR="00243898" w:rsidRPr="00E303C8">
        <w:rPr>
          <w:sz w:val="24"/>
          <w:szCs w:val="24"/>
        </w:rPr>
        <w:t xml:space="preserve">If the team members present themselves for the NCQP, they </w:t>
      </w:r>
      <w:r w:rsidR="00FC5155" w:rsidRPr="00E303C8">
        <w:rPr>
          <w:sz w:val="24"/>
          <w:szCs w:val="24"/>
        </w:rPr>
        <w:t>will be awarded</w:t>
      </w:r>
      <w:r w:rsidR="00243898" w:rsidRPr="00E303C8">
        <w:rPr>
          <w:sz w:val="24"/>
          <w:szCs w:val="24"/>
        </w:rPr>
        <w:t xml:space="preserve"> the certificate. If the team members do not appear in person, each certificate will be charged at Rs</w:t>
      </w:r>
      <w:r w:rsidR="007F209A">
        <w:rPr>
          <w:sz w:val="24"/>
          <w:szCs w:val="24"/>
        </w:rPr>
        <w:t>.</w:t>
      </w:r>
      <w:r w:rsidR="00243898" w:rsidRPr="00E303C8">
        <w:rPr>
          <w:sz w:val="24"/>
          <w:szCs w:val="24"/>
        </w:rPr>
        <w:t>1000/-</w:t>
      </w:r>
      <w:r w:rsidR="00FC5155" w:rsidRPr="00E303C8">
        <w:rPr>
          <w:sz w:val="24"/>
          <w:szCs w:val="24"/>
        </w:rPr>
        <w:t xml:space="preserve"> </w:t>
      </w:r>
      <w:r w:rsidR="007F209A">
        <w:rPr>
          <w:sz w:val="24"/>
          <w:szCs w:val="24"/>
        </w:rPr>
        <w:t>ONLY if</w:t>
      </w:r>
      <w:r w:rsidR="00FC5155" w:rsidRPr="00E303C8">
        <w:rPr>
          <w:sz w:val="24"/>
          <w:szCs w:val="24"/>
        </w:rPr>
        <w:t xml:space="preserve"> the name appears in the report</w:t>
      </w:r>
      <w:r w:rsidR="00243898" w:rsidRPr="00E303C8">
        <w:rPr>
          <w:sz w:val="24"/>
          <w:szCs w:val="24"/>
        </w:rPr>
        <w:t>.</w:t>
      </w:r>
    </w:p>
    <w:p w14:paraId="479F48A3" w14:textId="06011AE0" w:rsidR="00261C12" w:rsidRPr="00E303C8" w:rsidRDefault="00261C12" w:rsidP="00261C12">
      <w:pPr>
        <w:jc w:val="both"/>
        <w:rPr>
          <w:sz w:val="24"/>
          <w:szCs w:val="24"/>
        </w:rPr>
      </w:pPr>
      <w:r w:rsidRPr="00E303C8">
        <w:rPr>
          <w:sz w:val="24"/>
          <w:szCs w:val="24"/>
        </w:rPr>
        <w:t>A number of awareness workshops will be conducted to inform the following</w:t>
      </w:r>
      <w:r w:rsidR="00073753" w:rsidRPr="00E303C8">
        <w:rPr>
          <w:sz w:val="24"/>
          <w:szCs w:val="24"/>
        </w:rPr>
        <w:t>:</w:t>
      </w:r>
    </w:p>
    <w:p w14:paraId="6D0B4A45" w14:textId="1ADF86CC" w:rsidR="00261C12" w:rsidRPr="00E303C8" w:rsidRDefault="00261C12" w:rsidP="00261C12">
      <w:pPr>
        <w:jc w:val="both"/>
        <w:rPr>
          <w:sz w:val="24"/>
          <w:szCs w:val="24"/>
        </w:rPr>
      </w:pPr>
      <w:r w:rsidRPr="00E303C8">
        <w:rPr>
          <w:sz w:val="24"/>
          <w:szCs w:val="24"/>
        </w:rPr>
        <w:t xml:space="preserve">Application process, About the different streams, </w:t>
      </w:r>
      <w:r w:rsidR="00073753" w:rsidRPr="00E303C8">
        <w:rPr>
          <w:sz w:val="24"/>
          <w:szCs w:val="24"/>
        </w:rPr>
        <w:t>Application Requirements,</w:t>
      </w:r>
      <w:r w:rsidRPr="00E303C8">
        <w:rPr>
          <w:sz w:val="24"/>
          <w:szCs w:val="24"/>
        </w:rPr>
        <w:t xml:space="preserve"> </w:t>
      </w:r>
      <w:proofErr w:type="gramStart"/>
      <w:r w:rsidRPr="00E303C8">
        <w:rPr>
          <w:sz w:val="24"/>
          <w:szCs w:val="24"/>
        </w:rPr>
        <w:t>Marking</w:t>
      </w:r>
      <w:proofErr w:type="gramEnd"/>
      <w:r w:rsidRPr="00E303C8">
        <w:rPr>
          <w:sz w:val="24"/>
          <w:szCs w:val="24"/>
        </w:rPr>
        <w:t xml:space="preserve"> schemes, How to name a team, </w:t>
      </w:r>
      <w:r w:rsidR="00073753" w:rsidRPr="00E303C8">
        <w:rPr>
          <w:sz w:val="24"/>
          <w:szCs w:val="24"/>
        </w:rPr>
        <w:t>R</w:t>
      </w:r>
      <w:r w:rsidRPr="00E303C8">
        <w:rPr>
          <w:sz w:val="24"/>
          <w:szCs w:val="24"/>
        </w:rPr>
        <w:t xml:space="preserve">eport writing and expected contents, </w:t>
      </w:r>
      <w:r w:rsidR="00073753" w:rsidRPr="00E303C8">
        <w:rPr>
          <w:sz w:val="24"/>
          <w:szCs w:val="24"/>
        </w:rPr>
        <w:t>A</w:t>
      </w:r>
      <w:r w:rsidRPr="00E303C8">
        <w:rPr>
          <w:sz w:val="24"/>
          <w:szCs w:val="24"/>
        </w:rPr>
        <w:t>bstract writing, PowerPoint presentation contents, and how the application should be submitted.</w:t>
      </w:r>
    </w:p>
    <w:p w14:paraId="329D204C" w14:textId="77777777" w:rsidR="000A56AD" w:rsidRDefault="000A56AD" w:rsidP="00261C12">
      <w:pPr>
        <w:jc w:val="both"/>
        <w:rPr>
          <w:rFonts w:cstheme="minorHAnsi"/>
          <w:b/>
          <w:bCs/>
          <w:sz w:val="24"/>
          <w:szCs w:val="24"/>
        </w:rPr>
      </w:pPr>
    </w:p>
    <w:p w14:paraId="29CD3864" w14:textId="77777777" w:rsidR="000A56AD" w:rsidRDefault="000A56AD" w:rsidP="00261C12">
      <w:pPr>
        <w:jc w:val="both"/>
        <w:rPr>
          <w:rFonts w:cstheme="minorHAnsi"/>
          <w:b/>
          <w:bCs/>
          <w:sz w:val="24"/>
          <w:szCs w:val="24"/>
        </w:rPr>
      </w:pPr>
    </w:p>
    <w:p w14:paraId="0B8FB56E" w14:textId="50ECDC53" w:rsidR="00E303C8" w:rsidRPr="00E303C8" w:rsidRDefault="00E303C8" w:rsidP="00261C12">
      <w:pPr>
        <w:jc w:val="both"/>
        <w:rPr>
          <w:rFonts w:cstheme="minorHAnsi"/>
          <w:b/>
          <w:bCs/>
          <w:sz w:val="24"/>
          <w:szCs w:val="24"/>
        </w:rPr>
      </w:pPr>
      <w:r w:rsidRPr="00E303C8">
        <w:rPr>
          <w:rFonts w:cstheme="minorHAnsi"/>
          <w:b/>
          <w:bCs/>
          <w:sz w:val="24"/>
          <w:szCs w:val="24"/>
        </w:rPr>
        <w:lastRenderedPageBreak/>
        <w:t>Marking</w:t>
      </w:r>
    </w:p>
    <w:p w14:paraId="5877E9A4" w14:textId="77777777" w:rsidR="00E303C8" w:rsidRPr="00E303C8" w:rsidRDefault="00E303C8" w:rsidP="00261C12">
      <w:pPr>
        <w:jc w:val="both"/>
        <w:rPr>
          <w:rFonts w:cstheme="minorHAnsi"/>
          <w:b/>
          <w:bCs/>
          <w:sz w:val="24"/>
          <w:szCs w:val="24"/>
        </w:rPr>
      </w:pPr>
      <w:r w:rsidRPr="00E303C8">
        <w:rPr>
          <w:rFonts w:cstheme="minorHAnsi"/>
          <w:b/>
          <w:bCs/>
          <w:sz w:val="24"/>
          <w:szCs w:val="24"/>
        </w:rPr>
        <w:t>QCC/CFT/LSS</w:t>
      </w:r>
    </w:p>
    <w:p w14:paraId="35A5EF24" w14:textId="5E5E05DE" w:rsidR="00C37F80" w:rsidRPr="008153ED" w:rsidRDefault="00261C12" w:rsidP="00261C12">
      <w:pPr>
        <w:jc w:val="both"/>
        <w:rPr>
          <w:sz w:val="24"/>
          <w:szCs w:val="24"/>
        </w:rPr>
      </w:pPr>
      <w:r w:rsidRPr="008153ED">
        <w:rPr>
          <w:sz w:val="24"/>
          <w:szCs w:val="24"/>
        </w:rPr>
        <w:t>The Report</w:t>
      </w:r>
      <w:r w:rsidR="00E303C8" w:rsidRPr="008153ED">
        <w:rPr>
          <w:sz w:val="24"/>
          <w:szCs w:val="24"/>
        </w:rPr>
        <w:t xml:space="preserve">s will carry 80 marks and will be marked prior to the event by a qualified panel of judges. The evaluation of the </w:t>
      </w:r>
      <w:r w:rsidRPr="008153ED">
        <w:rPr>
          <w:sz w:val="24"/>
          <w:szCs w:val="24"/>
        </w:rPr>
        <w:t xml:space="preserve">presentation on the day of the NCQP will </w:t>
      </w:r>
      <w:r w:rsidR="009038BC" w:rsidRPr="008153ED">
        <w:rPr>
          <w:sz w:val="24"/>
          <w:szCs w:val="24"/>
        </w:rPr>
        <w:t xml:space="preserve">be </w:t>
      </w:r>
      <w:r w:rsidR="00FC5155" w:rsidRPr="008153ED">
        <w:rPr>
          <w:sz w:val="24"/>
          <w:szCs w:val="24"/>
        </w:rPr>
        <w:t>carr</w:t>
      </w:r>
      <w:r w:rsidR="00C37F80" w:rsidRPr="008153ED">
        <w:rPr>
          <w:sz w:val="24"/>
          <w:szCs w:val="24"/>
        </w:rPr>
        <w:t xml:space="preserve">ied out by a pair of judges who will mark the project out of 100 </w:t>
      </w:r>
      <w:r w:rsidR="00FC5155" w:rsidRPr="008153ED">
        <w:rPr>
          <w:sz w:val="24"/>
          <w:szCs w:val="24"/>
        </w:rPr>
        <w:t xml:space="preserve">marks. The average </w:t>
      </w:r>
      <w:r w:rsidR="00C37F80" w:rsidRPr="008153ED">
        <w:rPr>
          <w:sz w:val="24"/>
          <w:szCs w:val="24"/>
        </w:rPr>
        <w:t xml:space="preserve">mark converted to a percentage </w:t>
      </w:r>
      <w:r w:rsidR="00FC5155" w:rsidRPr="008153ED">
        <w:rPr>
          <w:sz w:val="24"/>
          <w:szCs w:val="24"/>
        </w:rPr>
        <w:t>will be the final mark.</w:t>
      </w:r>
      <w:r w:rsidRPr="008153ED">
        <w:rPr>
          <w:sz w:val="24"/>
          <w:szCs w:val="24"/>
        </w:rPr>
        <w:t xml:space="preserve"> </w:t>
      </w:r>
    </w:p>
    <w:p w14:paraId="4B198F24" w14:textId="187DBE66" w:rsidR="00C37F80" w:rsidRPr="008153ED" w:rsidRDefault="00C37F80" w:rsidP="00261C12">
      <w:pPr>
        <w:jc w:val="both"/>
        <w:rPr>
          <w:sz w:val="24"/>
          <w:szCs w:val="24"/>
        </w:rPr>
      </w:pPr>
      <w:r w:rsidRPr="008153ED">
        <w:rPr>
          <w:sz w:val="24"/>
          <w:szCs w:val="24"/>
        </w:rPr>
        <w:t>Teams that obtain more than 50% will be eligible for an award. T</w:t>
      </w:r>
      <w:r w:rsidRPr="008153ED">
        <w:rPr>
          <w:sz w:val="24"/>
          <w:szCs w:val="24"/>
        </w:rPr>
        <w:t>eams hav</w:t>
      </w:r>
      <w:r w:rsidRPr="008153ED">
        <w:rPr>
          <w:sz w:val="24"/>
          <w:szCs w:val="24"/>
        </w:rPr>
        <w:t>ing</w:t>
      </w:r>
      <w:r w:rsidRPr="008153ED">
        <w:rPr>
          <w:sz w:val="24"/>
          <w:szCs w:val="24"/>
        </w:rPr>
        <w:t xml:space="preserve"> 50 – 59% marks </w:t>
      </w:r>
      <w:r w:rsidRPr="008153ED">
        <w:rPr>
          <w:sz w:val="24"/>
          <w:szCs w:val="24"/>
        </w:rPr>
        <w:t xml:space="preserve">will qualify for a </w:t>
      </w:r>
      <w:proofErr w:type="gramStart"/>
      <w:r w:rsidRPr="008153ED">
        <w:rPr>
          <w:sz w:val="24"/>
          <w:szCs w:val="24"/>
        </w:rPr>
        <w:t>Bronze</w:t>
      </w:r>
      <w:proofErr w:type="gramEnd"/>
      <w:r w:rsidRPr="008153ED">
        <w:rPr>
          <w:sz w:val="24"/>
          <w:szCs w:val="24"/>
        </w:rPr>
        <w:t xml:space="preserve"> award, teams having 60-74% will qualify for a Silver award and teams obtaining 75% or more marks will qualify for a GOLD award. </w:t>
      </w:r>
      <w:r w:rsidR="00261C12" w:rsidRPr="008153ED">
        <w:rPr>
          <w:sz w:val="24"/>
          <w:szCs w:val="24"/>
        </w:rPr>
        <w:t>GOLD award</w:t>
      </w:r>
      <w:r w:rsidR="007E230B" w:rsidRPr="008153ED">
        <w:rPr>
          <w:sz w:val="24"/>
          <w:szCs w:val="24"/>
        </w:rPr>
        <w:t xml:space="preserve"> </w:t>
      </w:r>
      <w:r w:rsidR="008153ED" w:rsidRPr="008153ED">
        <w:rPr>
          <w:sz w:val="24"/>
          <w:szCs w:val="24"/>
        </w:rPr>
        <w:t xml:space="preserve">winners are eligible to apply for the </w:t>
      </w:r>
      <w:r w:rsidR="00261C12" w:rsidRPr="008153ED">
        <w:rPr>
          <w:sz w:val="24"/>
          <w:szCs w:val="24"/>
        </w:rPr>
        <w:t xml:space="preserve">next ICQCC to be held in Sri Lanka </w:t>
      </w:r>
      <w:r w:rsidR="007E230B" w:rsidRPr="008153ED">
        <w:rPr>
          <w:sz w:val="24"/>
          <w:szCs w:val="24"/>
        </w:rPr>
        <w:t>from 12 - 14</w:t>
      </w:r>
      <w:r w:rsidR="00261C12" w:rsidRPr="008153ED">
        <w:rPr>
          <w:sz w:val="24"/>
          <w:szCs w:val="24"/>
        </w:rPr>
        <w:t xml:space="preserve"> November 2024. </w:t>
      </w:r>
    </w:p>
    <w:p w14:paraId="31C377DD" w14:textId="64708134" w:rsidR="00261C12" w:rsidRPr="008153ED" w:rsidRDefault="00261C12" w:rsidP="00261C12">
      <w:pPr>
        <w:jc w:val="both"/>
        <w:rPr>
          <w:sz w:val="24"/>
          <w:szCs w:val="24"/>
        </w:rPr>
      </w:pPr>
      <w:r w:rsidRPr="008153ED">
        <w:rPr>
          <w:sz w:val="24"/>
          <w:szCs w:val="24"/>
        </w:rPr>
        <w:t>The ICQCC requires a well written abstract</w:t>
      </w:r>
      <w:r w:rsidR="007E230B" w:rsidRPr="008153ED">
        <w:rPr>
          <w:sz w:val="24"/>
          <w:szCs w:val="24"/>
        </w:rPr>
        <w:t xml:space="preserve"> and report</w:t>
      </w:r>
      <w:r w:rsidRPr="008153ED">
        <w:rPr>
          <w:sz w:val="24"/>
          <w:szCs w:val="24"/>
        </w:rPr>
        <w:t>. So</w:t>
      </w:r>
      <w:r w:rsidR="00073753" w:rsidRPr="008153ED">
        <w:rPr>
          <w:sz w:val="24"/>
          <w:szCs w:val="24"/>
        </w:rPr>
        <w:t>,</w:t>
      </w:r>
      <w:r w:rsidRPr="008153ED">
        <w:rPr>
          <w:sz w:val="24"/>
          <w:szCs w:val="24"/>
        </w:rPr>
        <w:t xml:space="preserve"> it is important that this exercise is carried out in a professional manner. </w:t>
      </w:r>
    </w:p>
    <w:p w14:paraId="6E1A930E" w14:textId="77777777" w:rsidR="00E75753" w:rsidRDefault="00E75753">
      <w:pPr>
        <w:rPr>
          <w:sz w:val="24"/>
          <w:szCs w:val="24"/>
        </w:rPr>
      </w:pPr>
    </w:p>
    <w:p w14:paraId="5308458F" w14:textId="77777777" w:rsidR="00F926FE" w:rsidRPr="00BD1F26" w:rsidRDefault="00F926FE" w:rsidP="00F926FE">
      <w:pPr>
        <w:spacing w:after="0" w:line="240" w:lineRule="auto"/>
        <w:rPr>
          <w:rFonts w:cstheme="minorHAnsi"/>
          <w:sz w:val="27"/>
          <w:szCs w:val="27"/>
        </w:rPr>
      </w:pPr>
      <w:r w:rsidRPr="00BD1F26">
        <w:rPr>
          <w:rFonts w:cstheme="minorHAnsi"/>
          <w:sz w:val="27"/>
          <w:szCs w:val="27"/>
        </w:rPr>
        <w:t>Technical Committee</w:t>
      </w:r>
      <w:r>
        <w:rPr>
          <w:rFonts w:cstheme="minorHAnsi"/>
          <w:sz w:val="27"/>
          <w:szCs w:val="27"/>
        </w:rPr>
        <w:t>/SLAAQP</w:t>
      </w:r>
    </w:p>
    <w:p w14:paraId="67AC2B5C" w14:textId="77777777" w:rsidR="00F926FE" w:rsidRPr="008153ED" w:rsidRDefault="00F926FE">
      <w:pPr>
        <w:rPr>
          <w:sz w:val="24"/>
          <w:szCs w:val="24"/>
        </w:rPr>
      </w:pPr>
    </w:p>
    <w:p w14:paraId="7C617AC0" w14:textId="375294FE" w:rsidR="00F55AEA" w:rsidRPr="008153ED" w:rsidRDefault="00790524">
      <w:pPr>
        <w:rPr>
          <w:sz w:val="24"/>
          <w:szCs w:val="24"/>
        </w:rPr>
      </w:pPr>
      <w:r w:rsidRPr="008153ED">
        <w:rPr>
          <w:sz w:val="24"/>
          <w:szCs w:val="24"/>
        </w:rPr>
        <w:t xml:space="preserve">WE ARE ENCOURAGING SRI LANKAN TEAMS </w:t>
      </w:r>
      <w:r w:rsidR="007F7EE1" w:rsidRPr="008153ED">
        <w:rPr>
          <w:sz w:val="24"/>
          <w:szCs w:val="24"/>
        </w:rPr>
        <w:t xml:space="preserve">TO COMPETE AT THE NCQP THIS YEAR SO THAT THEY </w:t>
      </w:r>
      <w:r w:rsidR="008153ED" w:rsidRPr="008153ED">
        <w:rPr>
          <w:sz w:val="24"/>
          <w:szCs w:val="24"/>
        </w:rPr>
        <w:t>QUALIFY TO</w:t>
      </w:r>
      <w:r w:rsidR="007F7EE1" w:rsidRPr="008153ED">
        <w:rPr>
          <w:sz w:val="24"/>
          <w:szCs w:val="24"/>
        </w:rPr>
        <w:t xml:space="preserve"> PARTICIPATE AT THE FORTHCOMING INTERNATIONAL EVENT </w:t>
      </w:r>
      <w:r w:rsidR="00BD1F26" w:rsidRPr="008153ED">
        <w:rPr>
          <w:sz w:val="24"/>
          <w:szCs w:val="24"/>
        </w:rPr>
        <w:t xml:space="preserve">in </w:t>
      </w:r>
      <w:r w:rsidR="007F7EE1" w:rsidRPr="008153ED">
        <w:rPr>
          <w:sz w:val="24"/>
          <w:szCs w:val="24"/>
        </w:rPr>
        <w:t>NOVEMBER 2024</w:t>
      </w:r>
    </w:p>
    <w:sectPr w:rsidR="00F55AEA" w:rsidRPr="008153ED" w:rsidSect="00E13CCD">
      <w:headerReference w:type="default" r:id="rId11"/>
      <w:footerReference w:type="default" r:id="rId12"/>
      <w:pgSz w:w="11906" w:h="16838"/>
      <w:pgMar w:top="1440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5904A" w14:textId="77777777" w:rsidR="00E13CCD" w:rsidRDefault="00E13CCD" w:rsidP="00414C32">
      <w:pPr>
        <w:spacing w:after="0" w:line="240" w:lineRule="auto"/>
      </w:pPr>
      <w:r>
        <w:separator/>
      </w:r>
    </w:p>
  </w:endnote>
  <w:endnote w:type="continuationSeparator" w:id="0">
    <w:p w14:paraId="308BF75E" w14:textId="77777777" w:rsidR="00E13CCD" w:rsidRDefault="00E13CCD" w:rsidP="0041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2140663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58F0577" w14:textId="5BAEF020" w:rsidR="00490CD2" w:rsidRDefault="00490CD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8153ED">
          <w:rPr>
            <w:noProof/>
          </w:rPr>
          <w:t>4</w:t>
        </w:r>
      </w:p>
      <w:p w14:paraId="55F5243F" w14:textId="78F607EC" w:rsidR="00490CD2" w:rsidRPr="00490CD2" w:rsidRDefault="00490CD2">
        <w:pPr>
          <w:pStyle w:val="Footer"/>
          <w:jc w:val="center"/>
          <w:rPr>
            <w:sz w:val="18"/>
            <w:szCs w:val="18"/>
          </w:rPr>
        </w:pPr>
        <w:r w:rsidRPr="00490CD2">
          <w:rPr>
            <w:noProof/>
            <w:sz w:val="18"/>
            <w:szCs w:val="18"/>
          </w:rPr>
          <w:t>ncqpguidev1</w:t>
        </w:r>
        <w:r w:rsidRPr="00490CD2">
          <w:rPr>
            <w:noProof/>
            <w:sz w:val="18"/>
            <w:szCs w:val="18"/>
          </w:rPr>
          <w:tab/>
        </w:r>
        <w:r w:rsidRPr="00490CD2">
          <w:rPr>
            <w:noProof/>
            <w:sz w:val="18"/>
            <w:szCs w:val="18"/>
          </w:rPr>
          <w:tab/>
          <w:t>NCQP202</w:t>
        </w:r>
        <w:r w:rsidR="008153ED">
          <w:rPr>
            <w:noProof/>
            <w:sz w:val="18"/>
            <w:szCs w:val="18"/>
          </w:rPr>
          <w:t>4</w:t>
        </w:r>
      </w:p>
    </w:sdtContent>
  </w:sdt>
  <w:p w14:paraId="60B7723D" w14:textId="6C4609DC" w:rsidR="00414C32" w:rsidRPr="00490CD2" w:rsidRDefault="00414C3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E3C69" w14:textId="77777777" w:rsidR="00E13CCD" w:rsidRDefault="00E13CCD" w:rsidP="00414C32">
      <w:pPr>
        <w:spacing w:after="0" w:line="240" w:lineRule="auto"/>
      </w:pPr>
      <w:r>
        <w:separator/>
      </w:r>
    </w:p>
  </w:footnote>
  <w:footnote w:type="continuationSeparator" w:id="0">
    <w:p w14:paraId="5D0DC9E2" w14:textId="77777777" w:rsidR="00E13CCD" w:rsidRDefault="00E13CCD" w:rsidP="0041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69" w:type="dxa"/>
      <w:tblInd w:w="-5" w:type="dxa"/>
      <w:tblBorders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9"/>
    </w:tblGrid>
    <w:tr w:rsidR="00490CD2" w14:paraId="0185ADA3" w14:textId="77777777" w:rsidTr="00490CD2">
      <w:trPr>
        <w:trHeight w:val="537"/>
      </w:trPr>
      <w:tc>
        <w:tcPr>
          <w:tcW w:w="8369" w:type="dxa"/>
          <w:tcBorders>
            <w:right w:val="single" w:sz="12" w:space="0" w:color="auto"/>
          </w:tcBorders>
          <w:vAlign w:val="center"/>
        </w:tcPr>
        <w:p w14:paraId="009F3853" w14:textId="77777777" w:rsidR="00490CD2" w:rsidRPr="00420BBE" w:rsidRDefault="00490CD2" w:rsidP="00490CD2">
          <w:pPr>
            <w:pStyle w:val="TableParagraph"/>
            <w:jc w:val="center"/>
            <w:rPr>
              <w:sz w:val="24"/>
              <w:szCs w:val="24"/>
            </w:rPr>
          </w:pPr>
          <w:r>
            <w:rPr>
              <w:noProof/>
              <w:color w:val="002060"/>
              <w:sz w:val="20"/>
              <w:szCs w:val="20"/>
              <w:lang w:bidi="ar-SA"/>
            </w:rPr>
            <w:drawing>
              <wp:inline distT="0" distB="0" distL="0" distR="0" wp14:anchorId="70794851" wp14:editId="77D83568">
                <wp:extent cx="521183" cy="457200"/>
                <wp:effectExtent l="0" t="0" r="0" b="0"/>
                <wp:docPr id="11" name="Picture 6" descr="slaaq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6" descr="slaaqp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280" cy="459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20BBE">
            <w:rPr>
              <w:rFonts w:asciiTheme="minorHAnsi" w:hAnsiTheme="minorHAnsi" w:cstheme="minorHAnsi"/>
              <w:sz w:val="24"/>
              <w:szCs w:val="24"/>
            </w:rPr>
            <w:t>Sri Lanka Association for the Advancement of Quality &amp; Productivity</w:t>
          </w:r>
        </w:p>
      </w:tc>
    </w:tr>
  </w:tbl>
  <w:p w14:paraId="7A67E081" w14:textId="77777777" w:rsidR="00490CD2" w:rsidRDefault="00490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75836"/>
    <w:multiLevelType w:val="hybridMultilevel"/>
    <w:tmpl w:val="0FAEE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26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A3"/>
    <w:rsid w:val="00073753"/>
    <w:rsid w:val="00075BF7"/>
    <w:rsid w:val="000858AE"/>
    <w:rsid w:val="000A56AD"/>
    <w:rsid w:val="000F4161"/>
    <w:rsid w:val="00145B1F"/>
    <w:rsid w:val="002364BB"/>
    <w:rsid w:val="00243898"/>
    <w:rsid w:val="00256BB1"/>
    <w:rsid w:val="00261C12"/>
    <w:rsid w:val="002946BD"/>
    <w:rsid w:val="002C0429"/>
    <w:rsid w:val="00304353"/>
    <w:rsid w:val="00366D8C"/>
    <w:rsid w:val="003854C3"/>
    <w:rsid w:val="00393CFF"/>
    <w:rsid w:val="003A33DC"/>
    <w:rsid w:val="003E6F85"/>
    <w:rsid w:val="00406ADE"/>
    <w:rsid w:val="00414C32"/>
    <w:rsid w:val="0043326C"/>
    <w:rsid w:val="004543D9"/>
    <w:rsid w:val="00490CD2"/>
    <w:rsid w:val="004A613E"/>
    <w:rsid w:val="00516D34"/>
    <w:rsid w:val="00572F7A"/>
    <w:rsid w:val="00575B3C"/>
    <w:rsid w:val="005F5D8A"/>
    <w:rsid w:val="006271D3"/>
    <w:rsid w:val="00697821"/>
    <w:rsid w:val="006E71E2"/>
    <w:rsid w:val="00787CA0"/>
    <w:rsid w:val="00790524"/>
    <w:rsid w:val="007E0288"/>
    <w:rsid w:val="007E230B"/>
    <w:rsid w:val="007F209A"/>
    <w:rsid w:val="007F7EE1"/>
    <w:rsid w:val="008153ED"/>
    <w:rsid w:val="008423A3"/>
    <w:rsid w:val="008C7F05"/>
    <w:rsid w:val="009038BC"/>
    <w:rsid w:val="009068C8"/>
    <w:rsid w:val="00921627"/>
    <w:rsid w:val="009C524A"/>
    <w:rsid w:val="009E4069"/>
    <w:rsid w:val="00AE776A"/>
    <w:rsid w:val="00BC07B7"/>
    <w:rsid w:val="00BD1F26"/>
    <w:rsid w:val="00C37F80"/>
    <w:rsid w:val="00D661AF"/>
    <w:rsid w:val="00D709C7"/>
    <w:rsid w:val="00E011DD"/>
    <w:rsid w:val="00E13CCD"/>
    <w:rsid w:val="00E303C8"/>
    <w:rsid w:val="00E5715A"/>
    <w:rsid w:val="00E75753"/>
    <w:rsid w:val="00EF6A40"/>
    <w:rsid w:val="00F55AEA"/>
    <w:rsid w:val="00F77712"/>
    <w:rsid w:val="00F926FE"/>
    <w:rsid w:val="00FA0DAE"/>
    <w:rsid w:val="00FC5155"/>
    <w:rsid w:val="00F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22A7"/>
  <w15:chartTrackingRefBased/>
  <w15:docId w15:val="{EBD6EACC-5D9D-4FB2-956B-89F80F97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A3"/>
  </w:style>
  <w:style w:type="paragraph" w:styleId="Heading2">
    <w:name w:val="heading 2"/>
    <w:basedOn w:val="Normal"/>
    <w:link w:val="Heading2Char"/>
    <w:uiPriority w:val="9"/>
    <w:qFormat/>
    <w:rsid w:val="003A3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3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32"/>
  </w:style>
  <w:style w:type="paragraph" w:styleId="Footer">
    <w:name w:val="footer"/>
    <w:basedOn w:val="Normal"/>
    <w:link w:val="FooterChar"/>
    <w:uiPriority w:val="99"/>
    <w:unhideWhenUsed/>
    <w:qFormat/>
    <w:rsid w:val="00414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414C32"/>
  </w:style>
  <w:style w:type="paragraph" w:customStyle="1" w:styleId="TableParagraph">
    <w:name w:val="Table Paragraph"/>
    <w:basedOn w:val="Normal"/>
    <w:uiPriority w:val="1"/>
    <w:qFormat/>
    <w:rsid w:val="00490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bidi="en-US"/>
      <w14:ligatures w14:val="none"/>
    </w:rPr>
  </w:style>
  <w:style w:type="table" w:styleId="TableGrid">
    <w:name w:val="Table Grid"/>
    <w:basedOn w:val="TableNormal"/>
    <w:uiPriority w:val="39"/>
    <w:qFormat/>
    <w:rsid w:val="002364BB"/>
    <w:pPr>
      <w:spacing w:after="0" w:line="240" w:lineRule="auto"/>
    </w:pPr>
    <w:rPr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4B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kern w:val="0"/>
      <w:lang w:bidi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A33DC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8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2T02:14:33.8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24575,'3'0'0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17T19:23:38.2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24575,'3'0'0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Nirmali de Silva</dc:creator>
  <cp:keywords/>
  <dc:description/>
  <cp:lastModifiedBy>Nirmali de Silva</cp:lastModifiedBy>
  <cp:revision>10</cp:revision>
  <cp:lastPrinted>2023-09-12T02:25:00Z</cp:lastPrinted>
  <dcterms:created xsi:type="dcterms:W3CDTF">2024-03-25T16:04:00Z</dcterms:created>
  <dcterms:modified xsi:type="dcterms:W3CDTF">2024-03-25T17:27:00Z</dcterms:modified>
</cp:coreProperties>
</file>